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B3B0F1">
      <w:pPr>
        <w:pStyle w:val="6"/>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hint="eastAsia"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团体标准《七百弄种鸡饲养管理技术</w:t>
      </w:r>
      <w:r>
        <w:rPr>
          <w:rFonts w:hint="eastAsia" w:ascii="方正小标宋简体" w:hAnsi="宋体" w:eastAsia="方正小标宋简体"/>
          <w:color w:val="000000"/>
          <w:sz w:val="44"/>
          <w:szCs w:val="32"/>
          <w:lang w:val="en-US" w:eastAsia="zh-CN"/>
        </w:rPr>
        <w:t>规程</w:t>
      </w:r>
      <w:r>
        <w:rPr>
          <w:rFonts w:hint="eastAsia" w:ascii="方正小标宋简体" w:hAnsi="宋体" w:eastAsia="方正小标宋简体"/>
          <w:color w:val="000000"/>
          <w:sz w:val="44"/>
          <w:szCs w:val="32"/>
        </w:rPr>
        <w:t>》</w:t>
      </w:r>
    </w:p>
    <w:p w14:paraId="67EFCAD8">
      <w:pPr>
        <w:pStyle w:val="6"/>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ind w:left="0" w:leftChars="0" w:right="0" w:firstLine="0" w:firstLineChars="0"/>
        <w:jc w:val="center"/>
        <w:textAlignment w:val="auto"/>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p>
    <w:p w14:paraId="0D5136F0">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一、任务来源、起草单位、主要起草人</w:t>
      </w:r>
    </w:p>
    <w:p w14:paraId="7FB55DF0">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highlight w:val="none"/>
        </w:rPr>
        <w:t>根据《广西标准化协会关于下达20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年第四批团体标准制修订项目计划的通知》（桂标协〔20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52</w:t>
      </w:r>
      <w:r>
        <w:rPr>
          <w:rFonts w:hint="eastAsia" w:ascii="仿宋_GB2312" w:hAnsi="宋体" w:eastAsia="仿宋_GB2312"/>
          <w:sz w:val="32"/>
          <w:szCs w:val="28"/>
          <w:highlight w:val="none"/>
        </w:rPr>
        <w:t>号）文件精神，由广西畜牧业协会提出，广西农业职业技术大学、广西壮族自治区水牛研究所、大化瑶族自治县七百弄鸡产业发展中心等</w:t>
      </w:r>
      <w:r>
        <w:rPr>
          <w:rFonts w:ascii="仿宋_GB2312" w:hAnsi="宋体" w:eastAsia="仿宋_GB2312"/>
          <w:sz w:val="32"/>
          <w:szCs w:val="28"/>
          <w:highlight w:val="none"/>
        </w:rPr>
        <w:t>单位</w:t>
      </w:r>
      <w:r>
        <w:rPr>
          <w:rFonts w:hint="eastAsia" w:ascii="仿宋_GB2312" w:hAnsi="宋体" w:eastAsia="仿宋_GB2312"/>
          <w:sz w:val="32"/>
          <w:szCs w:val="28"/>
          <w:highlight w:val="none"/>
        </w:rPr>
        <w:t>共同起草的团体标准《七百弄种鸡饲养管理技术规程》（项目编号：20</w:t>
      </w:r>
      <w:r>
        <w:rPr>
          <w:rFonts w:hint="eastAsia" w:ascii="仿宋_GB2312" w:hAnsi="宋体"/>
          <w:sz w:val="32"/>
          <w:szCs w:val="28"/>
          <w:highlight w:val="none"/>
          <w:lang w:val="en-US" w:eastAsia="zh-CN"/>
        </w:rPr>
        <w:t>26</w:t>
      </w:r>
      <w:r>
        <w:rPr>
          <w:rFonts w:hint="eastAsia" w:ascii="仿宋_GB2312" w:hAnsi="宋体" w:eastAsia="仿宋_GB2312"/>
          <w:sz w:val="32"/>
          <w:szCs w:val="28"/>
          <w:highlight w:val="none"/>
        </w:rPr>
        <w:t>-</w:t>
      </w:r>
      <w:r>
        <w:rPr>
          <w:rFonts w:hint="eastAsia" w:ascii="仿宋_GB2312" w:hAnsi="宋体"/>
          <w:sz w:val="32"/>
          <w:szCs w:val="28"/>
          <w:highlight w:val="none"/>
          <w:lang w:val="en-US" w:eastAsia="zh-CN"/>
        </w:rPr>
        <w:t>0406</w:t>
      </w:r>
      <w:r>
        <w:rPr>
          <w:rFonts w:hint="eastAsia" w:ascii="仿宋_GB2312" w:hAnsi="宋体" w:eastAsia="仿宋_GB2312"/>
          <w:sz w:val="32"/>
          <w:szCs w:val="28"/>
          <w:highlight w:val="none"/>
        </w:rPr>
        <w:t>）</w:t>
      </w:r>
      <w:r>
        <w:rPr>
          <w:rFonts w:hint="eastAsia" w:ascii="仿宋_GB2312" w:hAnsi="宋体" w:eastAsia="仿宋_GB2312"/>
          <w:sz w:val="32"/>
          <w:szCs w:val="28"/>
        </w:rPr>
        <w:t>已获批立项。</w:t>
      </w:r>
    </w:p>
    <w:p w14:paraId="134AFA4C">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为高质量编制团体标准《</w:t>
      </w:r>
      <w:r>
        <w:rPr>
          <w:rFonts w:hint="eastAsia" w:ascii="仿宋_GB2312" w:hAnsi="宋体" w:eastAsia="仿宋_GB2312"/>
          <w:sz w:val="32"/>
          <w:szCs w:val="28"/>
          <w:highlight w:val="none"/>
        </w:rPr>
        <w:t>七百弄种鸡饲养管理技术规程</w:t>
      </w:r>
      <w:r>
        <w:rPr>
          <w:rFonts w:hint="eastAsia" w:ascii="仿宋_GB2312" w:hAnsi="宋体"/>
          <w:sz w:val="32"/>
          <w:szCs w:val="28"/>
          <w:lang w:eastAsia="zh-CN"/>
        </w:rPr>
        <w:t>》</w:t>
      </w:r>
      <w:r>
        <w:rPr>
          <w:rFonts w:hint="eastAsia" w:ascii="仿宋_GB2312" w:hAnsi="宋体" w:eastAsia="仿宋_GB2312"/>
          <w:sz w:val="32"/>
          <w:szCs w:val="28"/>
        </w:rPr>
        <w:t>，由起草单位成立标准编制工作组并进行如下分工：</w:t>
      </w:r>
    </w:p>
    <w:tbl>
      <w:tblPr>
        <w:tblStyle w:val="7"/>
        <w:tblW w:w="4996" w:type="pct"/>
        <w:tblInd w:w="0" w:type="dxa"/>
        <w:tblLayout w:type="autofit"/>
        <w:tblCellMar>
          <w:top w:w="0" w:type="dxa"/>
          <w:left w:w="108" w:type="dxa"/>
          <w:bottom w:w="0" w:type="dxa"/>
          <w:right w:w="108" w:type="dxa"/>
        </w:tblCellMar>
      </w:tblPr>
      <w:tblGrid>
        <w:gridCol w:w="937"/>
        <w:gridCol w:w="1347"/>
        <w:gridCol w:w="1110"/>
        <w:gridCol w:w="2660"/>
        <w:gridCol w:w="3113"/>
      </w:tblGrid>
      <w:tr w14:paraId="7809343D">
        <w:tblPrEx>
          <w:tblCellMar>
            <w:top w:w="0" w:type="dxa"/>
            <w:left w:w="108" w:type="dxa"/>
            <w:bottom w:w="0" w:type="dxa"/>
            <w:right w:w="108" w:type="dxa"/>
          </w:tblCellMar>
        </w:tblPrEx>
        <w:trPr>
          <w:cantSplit/>
          <w:trHeight w:val="578" w:hRule="atLeast"/>
          <w:tblHeader/>
        </w:trPr>
        <w:tc>
          <w:tcPr>
            <w:tcW w:w="511" w:type="pct"/>
            <w:tcBorders>
              <w:top w:val="single" w:color="auto" w:sz="4" w:space="0"/>
              <w:left w:val="single" w:color="auto" w:sz="4" w:space="0"/>
              <w:bottom w:val="single" w:color="auto" w:sz="4" w:space="0"/>
              <w:right w:val="single" w:color="auto" w:sz="4" w:space="0"/>
            </w:tcBorders>
            <w:vAlign w:val="center"/>
          </w:tcPr>
          <w:p w14:paraId="0E4EF444">
            <w:pPr>
              <w:keepNext w:val="0"/>
              <w:keepLines w:val="0"/>
              <w:pageBreakBefore w:val="0"/>
              <w:widowControl w:val="0"/>
              <w:kinsoku/>
              <w:wordWrap/>
              <w:overflowPunct/>
              <w:topLinePunct w:val="0"/>
              <w:autoSpaceDE/>
              <w:autoSpaceDN/>
              <w:bidi w:val="0"/>
              <w:adjustRightInd/>
              <w:snapToGrid/>
              <w:ind w:left="0" w:leftChars="0" w:firstLine="0" w:firstLineChars="0"/>
              <w:jc w:val="both"/>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姓 名</w:t>
            </w:r>
          </w:p>
        </w:tc>
        <w:tc>
          <w:tcPr>
            <w:tcW w:w="734" w:type="pct"/>
            <w:tcBorders>
              <w:top w:val="single" w:color="auto" w:sz="4" w:space="0"/>
              <w:left w:val="single" w:color="auto" w:sz="4" w:space="0"/>
              <w:bottom w:val="single" w:color="auto" w:sz="4" w:space="0"/>
              <w:right w:val="single" w:color="auto" w:sz="4" w:space="0"/>
            </w:tcBorders>
            <w:vAlign w:val="center"/>
          </w:tcPr>
          <w:p w14:paraId="638239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lang w:val="en-US" w:eastAsia="zh-CN"/>
              </w:rPr>
              <w:t>从事</w:t>
            </w:r>
          </w:p>
          <w:p w14:paraId="05FD9F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lang w:val="en-US" w:eastAsia="zh-CN"/>
              </w:rPr>
              <w:t>专业</w:t>
            </w:r>
          </w:p>
        </w:tc>
        <w:tc>
          <w:tcPr>
            <w:tcW w:w="605" w:type="pct"/>
            <w:tcBorders>
              <w:top w:val="single" w:color="auto" w:sz="4" w:space="0"/>
              <w:left w:val="single" w:color="auto" w:sz="4" w:space="0"/>
              <w:bottom w:val="single" w:color="auto" w:sz="4" w:space="0"/>
              <w:right w:val="single" w:color="auto" w:sz="4" w:space="0"/>
            </w:tcBorders>
            <w:vAlign w:val="center"/>
          </w:tcPr>
          <w:p w14:paraId="58728DA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职称/</w:t>
            </w:r>
          </w:p>
          <w:p w14:paraId="3BBEB2A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rPr>
              <w:t>职位</w:t>
            </w:r>
          </w:p>
        </w:tc>
        <w:tc>
          <w:tcPr>
            <w:tcW w:w="1450" w:type="pct"/>
            <w:tcBorders>
              <w:top w:val="single" w:color="auto" w:sz="4" w:space="0"/>
              <w:left w:val="single" w:color="auto" w:sz="4" w:space="0"/>
              <w:bottom w:val="single" w:color="auto" w:sz="4" w:space="0"/>
              <w:right w:val="single" w:color="auto" w:sz="4" w:space="0"/>
            </w:tcBorders>
            <w:vAlign w:val="center"/>
          </w:tcPr>
          <w:p w14:paraId="6DE4B5C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工作单位</w:t>
            </w:r>
          </w:p>
        </w:tc>
        <w:tc>
          <w:tcPr>
            <w:tcW w:w="1697" w:type="pct"/>
            <w:tcBorders>
              <w:top w:val="single" w:color="auto" w:sz="4" w:space="0"/>
              <w:left w:val="single" w:color="auto" w:sz="4" w:space="0"/>
              <w:bottom w:val="single" w:color="auto" w:sz="4" w:space="0"/>
              <w:right w:val="single" w:color="auto" w:sz="4" w:space="0"/>
            </w:tcBorders>
            <w:vAlign w:val="center"/>
          </w:tcPr>
          <w:p w14:paraId="7A1E50A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主要负责工作</w:t>
            </w:r>
          </w:p>
        </w:tc>
      </w:tr>
      <w:tr w14:paraId="3BA7805A">
        <w:tblPrEx>
          <w:tblCellMar>
            <w:top w:w="0" w:type="dxa"/>
            <w:left w:w="108" w:type="dxa"/>
            <w:bottom w:w="0" w:type="dxa"/>
            <w:right w:w="108" w:type="dxa"/>
          </w:tblCellMar>
        </w:tblPrEx>
        <w:trPr>
          <w:cantSplit/>
          <w:trHeight w:val="732" w:hRule="atLeast"/>
        </w:trPr>
        <w:tc>
          <w:tcPr>
            <w:tcW w:w="511" w:type="pct"/>
            <w:tcBorders>
              <w:top w:val="single" w:color="auto" w:sz="4" w:space="0"/>
              <w:left w:val="single" w:color="auto" w:sz="4" w:space="0"/>
              <w:bottom w:val="single" w:color="auto" w:sz="4" w:space="0"/>
              <w:right w:val="single" w:color="008000" w:sz="4" w:space="0"/>
            </w:tcBorders>
            <w:vAlign w:val="center"/>
          </w:tcPr>
          <w:p w14:paraId="1426081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孙俊丽</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12102A0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auto" w:sz="4" w:space="0"/>
              <w:right w:val="single" w:color="auto" w:sz="4" w:space="0"/>
            </w:tcBorders>
            <w:shd w:val="clear" w:color="auto" w:fill="auto"/>
            <w:vAlign w:val="center"/>
          </w:tcPr>
          <w:p w14:paraId="1129FF3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正高级畜牧师</w:t>
            </w:r>
          </w:p>
        </w:tc>
        <w:tc>
          <w:tcPr>
            <w:tcW w:w="1450" w:type="pct"/>
            <w:tcBorders>
              <w:top w:val="single" w:color="000000" w:sz="2" w:space="0"/>
              <w:left w:val="single" w:color="auto" w:sz="4" w:space="0"/>
              <w:bottom w:val="single" w:color="auto" w:sz="4" w:space="0"/>
              <w:right w:val="single" w:color="auto" w:sz="4" w:space="0"/>
            </w:tcBorders>
            <w:shd w:val="clear" w:color="auto" w:fill="auto"/>
            <w:vAlign w:val="center"/>
          </w:tcPr>
          <w:p w14:paraId="06885C6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广西农业职业技术大学</w:t>
            </w:r>
          </w:p>
        </w:tc>
        <w:tc>
          <w:tcPr>
            <w:tcW w:w="1697" w:type="pct"/>
            <w:tcBorders>
              <w:top w:val="single" w:color="auto" w:sz="4" w:space="0"/>
              <w:left w:val="single" w:color="auto" w:sz="4" w:space="0"/>
              <w:bottom w:val="single" w:color="auto" w:sz="4" w:space="0"/>
              <w:right w:val="single" w:color="auto" w:sz="4" w:space="0"/>
            </w:tcBorders>
            <w:vAlign w:val="center"/>
          </w:tcPr>
          <w:p w14:paraId="1330368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统筹主持标准编制工作</w:t>
            </w:r>
          </w:p>
        </w:tc>
      </w:tr>
      <w:tr w14:paraId="795455FB">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23F3CAD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廖玉英</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5AB9AB9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auto" w:sz="4" w:space="0"/>
              <w:right w:val="single" w:color="auto" w:sz="4" w:space="0"/>
            </w:tcBorders>
            <w:shd w:val="clear" w:color="auto" w:fill="auto"/>
            <w:vAlign w:val="center"/>
          </w:tcPr>
          <w:p w14:paraId="1FF99C8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所长/研究员</w:t>
            </w:r>
          </w:p>
        </w:tc>
        <w:tc>
          <w:tcPr>
            <w:tcW w:w="1450" w:type="pct"/>
            <w:tcBorders>
              <w:top w:val="single" w:color="000000" w:sz="2" w:space="0"/>
              <w:left w:val="single" w:color="auto" w:sz="4" w:space="0"/>
              <w:bottom w:val="single" w:color="auto" w:sz="4" w:space="0"/>
              <w:right w:val="single" w:color="auto" w:sz="4" w:space="0"/>
            </w:tcBorders>
            <w:shd w:val="clear" w:color="auto" w:fill="auto"/>
            <w:vAlign w:val="center"/>
          </w:tcPr>
          <w:p w14:paraId="02B5BE3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广西壮族自治区水牛研究所</w:t>
            </w:r>
          </w:p>
        </w:tc>
        <w:tc>
          <w:tcPr>
            <w:tcW w:w="1697" w:type="pct"/>
            <w:tcBorders>
              <w:top w:val="single" w:color="auto" w:sz="4" w:space="0"/>
              <w:left w:val="single" w:color="auto" w:sz="4" w:space="0"/>
              <w:bottom w:val="single" w:color="auto" w:sz="4" w:space="0"/>
              <w:right w:val="single" w:color="auto" w:sz="4" w:space="0"/>
            </w:tcBorders>
            <w:vAlign w:val="center"/>
          </w:tcPr>
          <w:p w14:paraId="45F594A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参与标准编制工作，组织人员进行标准发布后的宣贯培训。</w:t>
            </w:r>
          </w:p>
        </w:tc>
      </w:tr>
      <w:tr w14:paraId="4FE0338D">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3373686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黄英飞</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6D7A33A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auto" w:sz="4" w:space="0"/>
              <w:right w:val="single" w:color="auto" w:sz="4" w:space="0"/>
            </w:tcBorders>
            <w:shd w:val="clear" w:color="auto" w:fill="auto"/>
            <w:vAlign w:val="center"/>
          </w:tcPr>
          <w:p w14:paraId="041D6D6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高级畜牧师</w:t>
            </w:r>
          </w:p>
        </w:tc>
        <w:tc>
          <w:tcPr>
            <w:tcW w:w="1450" w:type="pct"/>
            <w:tcBorders>
              <w:top w:val="single" w:color="000000" w:sz="2" w:space="0"/>
              <w:left w:val="single" w:color="auto" w:sz="4" w:space="0"/>
              <w:bottom w:val="single" w:color="auto" w:sz="4" w:space="0"/>
              <w:right w:val="single" w:color="auto" w:sz="4" w:space="0"/>
            </w:tcBorders>
            <w:shd w:val="clear" w:color="auto" w:fill="auto"/>
            <w:vAlign w:val="center"/>
          </w:tcPr>
          <w:p w14:paraId="12A926B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广西农业职业技术大学</w:t>
            </w:r>
          </w:p>
        </w:tc>
        <w:tc>
          <w:tcPr>
            <w:tcW w:w="1697" w:type="pct"/>
            <w:tcBorders>
              <w:top w:val="single" w:color="auto" w:sz="4" w:space="0"/>
              <w:left w:val="single" w:color="auto" w:sz="4" w:space="0"/>
              <w:bottom w:val="single" w:color="auto" w:sz="4" w:space="0"/>
              <w:right w:val="single" w:color="auto" w:sz="4" w:space="0"/>
            </w:tcBorders>
            <w:vAlign w:val="center"/>
          </w:tcPr>
          <w:p w14:paraId="77FA140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参与标准文本及编制说明编写，质量控制。</w:t>
            </w:r>
          </w:p>
        </w:tc>
      </w:tr>
      <w:tr w14:paraId="4DA2C65D">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672699B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谭文宝</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4EE4C89E">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39F130E3">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主任/兽医师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342FDCFB">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大化瑶族自治县七百弄鸡产业发展中心</w:t>
            </w:r>
          </w:p>
        </w:tc>
        <w:tc>
          <w:tcPr>
            <w:tcW w:w="1697" w:type="pct"/>
            <w:tcBorders>
              <w:top w:val="single" w:color="auto" w:sz="4" w:space="0"/>
              <w:left w:val="single" w:color="auto" w:sz="4" w:space="0"/>
              <w:bottom w:val="single" w:color="auto" w:sz="4" w:space="0"/>
              <w:right w:val="single" w:color="auto" w:sz="4" w:space="0"/>
            </w:tcBorders>
            <w:vAlign w:val="center"/>
          </w:tcPr>
          <w:p w14:paraId="74ED45F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35A3158">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071DEEA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孙如玉</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3938819D">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339637B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645DCEB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广西农业职业技术大学</w:t>
            </w:r>
          </w:p>
        </w:tc>
        <w:tc>
          <w:tcPr>
            <w:tcW w:w="1697" w:type="pct"/>
            <w:tcBorders>
              <w:top w:val="single" w:color="auto" w:sz="4" w:space="0"/>
              <w:left w:val="single" w:color="auto" w:sz="4" w:space="0"/>
              <w:bottom w:val="single" w:color="auto" w:sz="4" w:space="0"/>
              <w:right w:val="single" w:color="auto" w:sz="4" w:space="0"/>
            </w:tcBorders>
            <w:vAlign w:val="center"/>
          </w:tcPr>
          <w:p w14:paraId="1D06B517">
            <w:pPr>
              <w:keepNext w:val="0"/>
              <w:keepLines w:val="0"/>
              <w:pageBreakBefore w:val="0"/>
              <w:widowControl w:val="0"/>
              <w:kinsoku/>
              <w:wordWrap/>
              <w:overflowPunct/>
              <w:topLinePunct w:val="0"/>
              <w:autoSpaceDE/>
              <w:autoSpaceDN/>
              <w:bidi w:val="0"/>
              <w:adjustRightInd/>
              <w:snapToGrid/>
              <w:ind w:left="0" w:leftChars="0" w:firstLine="0" w:firstLineChars="0"/>
              <w:jc w:val="both"/>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13494C7E">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25D1084">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秦黎梅</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4A5674C2">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6E0B819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正高级畜牧师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13A7AC0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广西农业职业技术大学</w:t>
            </w:r>
          </w:p>
        </w:tc>
        <w:tc>
          <w:tcPr>
            <w:tcW w:w="1697" w:type="pct"/>
            <w:tcBorders>
              <w:top w:val="single" w:color="auto" w:sz="4" w:space="0"/>
              <w:left w:val="single" w:color="auto" w:sz="4" w:space="0"/>
              <w:bottom w:val="single" w:color="auto" w:sz="4" w:space="0"/>
              <w:right w:val="single" w:color="auto" w:sz="4" w:space="0"/>
            </w:tcBorders>
            <w:vAlign w:val="center"/>
          </w:tcPr>
          <w:p w14:paraId="56D6C1C7">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56A23D0C">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37C1BE6">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朱</w:t>
            </w:r>
            <w:r>
              <w:rPr>
                <w:rFonts w:hint="eastAsia" w:ascii="仿宋_GB2312" w:hAnsi="仿宋_GB2312" w:cs="仿宋_GB2312"/>
                <w:i w:val="0"/>
                <w:iCs w:val="0"/>
                <w:color w:val="000000"/>
                <w:kern w:val="0"/>
                <w:sz w:val="24"/>
                <w:szCs w:val="24"/>
                <w:u w:val="none"/>
                <w:lang w:val="en-US" w:eastAsia="zh-CN" w:bidi="ar"/>
              </w:rPr>
              <w:t xml:space="preserve">  </w:t>
            </w:r>
            <w:r>
              <w:rPr>
                <w:rFonts w:hint="eastAsia" w:ascii="仿宋_GB2312" w:hAnsi="仿宋_GB2312" w:eastAsia="仿宋_GB2312" w:cs="仿宋_GB2312"/>
                <w:i w:val="0"/>
                <w:iCs w:val="0"/>
                <w:color w:val="000000"/>
                <w:kern w:val="0"/>
                <w:sz w:val="24"/>
                <w:szCs w:val="24"/>
                <w:u w:val="none"/>
                <w:lang w:val="en-US" w:eastAsia="zh-CN" w:bidi="ar"/>
              </w:rPr>
              <w:t>敏</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4CF49C7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3EDD3BD7">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26DF79B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广西农业职业技术大学</w:t>
            </w:r>
          </w:p>
        </w:tc>
        <w:tc>
          <w:tcPr>
            <w:tcW w:w="1697" w:type="pct"/>
            <w:tcBorders>
              <w:top w:val="single" w:color="auto" w:sz="4" w:space="0"/>
              <w:left w:val="single" w:color="auto" w:sz="4" w:space="0"/>
              <w:bottom w:val="single" w:color="auto" w:sz="4" w:space="0"/>
              <w:right w:val="single" w:color="auto" w:sz="4" w:space="0"/>
            </w:tcBorders>
            <w:vAlign w:val="center"/>
          </w:tcPr>
          <w:p w14:paraId="30C1D61D">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2A10BFE0">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73EBF2A1">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覃仕善</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3BFE57E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149CF7D5">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高级畜牧师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0EB319C0">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广西农业职业技术大学</w:t>
            </w:r>
          </w:p>
        </w:tc>
        <w:tc>
          <w:tcPr>
            <w:tcW w:w="1697" w:type="pct"/>
            <w:tcBorders>
              <w:top w:val="single" w:color="auto" w:sz="4" w:space="0"/>
              <w:left w:val="single" w:color="auto" w:sz="4" w:space="0"/>
              <w:bottom w:val="single" w:color="auto" w:sz="4" w:space="0"/>
              <w:right w:val="single" w:color="auto" w:sz="4" w:space="0"/>
            </w:tcBorders>
            <w:vAlign w:val="center"/>
          </w:tcPr>
          <w:p w14:paraId="7019AC8B">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r w14:paraId="644DC7E1">
        <w:tblPrEx>
          <w:tblCellMar>
            <w:top w:w="0" w:type="dxa"/>
            <w:left w:w="108" w:type="dxa"/>
            <w:bottom w:w="0" w:type="dxa"/>
            <w:right w:w="108" w:type="dxa"/>
          </w:tblCellMar>
        </w:tblPrEx>
        <w:trPr>
          <w:cantSplit/>
          <w:trHeight w:val="517" w:hRule="atLeast"/>
        </w:trPr>
        <w:tc>
          <w:tcPr>
            <w:tcW w:w="511" w:type="pct"/>
            <w:tcBorders>
              <w:top w:val="single" w:color="auto" w:sz="4" w:space="0"/>
              <w:left w:val="single" w:color="auto" w:sz="4" w:space="0"/>
              <w:bottom w:val="single" w:color="auto" w:sz="4" w:space="0"/>
              <w:right w:val="single" w:color="008000" w:sz="4" w:space="0"/>
            </w:tcBorders>
            <w:vAlign w:val="center"/>
          </w:tcPr>
          <w:p w14:paraId="3FBD4E09">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sz w:val="24"/>
                <w:szCs w:val="24"/>
                <w:lang w:bidi="ar"/>
              </w:rPr>
            </w:pPr>
            <w:r>
              <w:rPr>
                <w:rFonts w:hint="eastAsia" w:ascii="仿宋_GB2312" w:hAnsi="仿宋_GB2312" w:eastAsia="仿宋_GB2312" w:cs="仿宋_GB2312"/>
                <w:i w:val="0"/>
                <w:iCs w:val="0"/>
                <w:color w:val="000000"/>
                <w:kern w:val="0"/>
                <w:sz w:val="24"/>
                <w:szCs w:val="24"/>
                <w:u w:val="none"/>
                <w:lang w:val="en-US" w:eastAsia="zh-CN" w:bidi="ar"/>
              </w:rPr>
              <w:t>陆艳丰</w:t>
            </w:r>
          </w:p>
        </w:tc>
        <w:tc>
          <w:tcPr>
            <w:tcW w:w="734" w:type="pct"/>
            <w:tcBorders>
              <w:top w:val="single" w:color="auto" w:sz="4" w:space="0"/>
              <w:left w:val="single" w:color="auto" w:sz="4" w:space="0"/>
              <w:bottom w:val="single" w:color="auto" w:sz="4" w:space="0"/>
              <w:right w:val="single" w:color="auto" w:sz="4" w:space="0"/>
            </w:tcBorders>
            <w:shd w:val="clear" w:color="auto" w:fill="auto"/>
            <w:vAlign w:val="center"/>
          </w:tcPr>
          <w:p w14:paraId="0EF4534F">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cs="仿宋_GB2312"/>
                <w:i w:val="0"/>
                <w:iCs w:val="0"/>
                <w:color w:val="000000"/>
                <w:kern w:val="0"/>
                <w:sz w:val="24"/>
                <w:szCs w:val="24"/>
                <w:u w:val="none"/>
                <w:lang w:val="en-US" w:eastAsia="zh-CN" w:bidi="ar"/>
              </w:rPr>
              <w:t>畜牧</w:t>
            </w:r>
          </w:p>
        </w:tc>
        <w:tc>
          <w:tcPr>
            <w:tcW w:w="605" w:type="pct"/>
            <w:tcBorders>
              <w:top w:val="single" w:color="000000" w:sz="2" w:space="0"/>
              <w:left w:val="single" w:color="auto" w:sz="4" w:space="0"/>
              <w:bottom w:val="single" w:color="000000" w:sz="2" w:space="0"/>
              <w:right w:val="single" w:color="auto" w:sz="4" w:space="0"/>
            </w:tcBorders>
            <w:shd w:val="clear" w:color="auto" w:fill="auto"/>
            <w:vAlign w:val="center"/>
          </w:tcPr>
          <w:p w14:paraId="625DBB1B">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副主任/高级兽医师</w:t>
            </w:r>
          </w:p>
        </w:tc>
        <w:tc>
          <w:tcPr>
            <w:tcW w:w="1450" w:type="pct"/>
            <w:tcBorders>
              <w:top w:val="single" w:color="000000" w:sz="2" w:space="0"/>
              <w:left w:val="single" w:color="auto" w:sz="4" w:space="0"/>
              <w:bottom w:val="single" w:color="000000" w:sz="2" w:space="0"/>
              <w:right w:val="single" w:color="auto" w:sz="4" w:space="0"/>
            </w:tcBorders>
            <w:shd w:val="clear" w:color="auto" w:fill="auto"/>
            <w:vAlign w:val="center"/>
          </w:tcPr>
          <w:p w14:paraId="0DE2B48C">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大化瑶族自治县七百弄鸡产业发展中心</w:t>
            </w:r>
          </w:p>
        </w:tc>
        <w:tc>
          <w:tcPr>
            <w:tcW w:w="1697" w:type="pct"/>
            <w:tcBorders>
              <w:top w:val="single" w:color="auto" w:sz="4" w:space="0"/>
              <w:left w:val="single" w:color="auto" w:sz="4" w:space="0"/>
              <w:bottom w:val="single" w:color="auto" w:sz="4" w:space="0"/>
              <w:right w:val="single" w:color="auto" w:sz="4" w:space="0"/>
            </w:tcBorders>
            <w:vAlign w:val="center"/>
          </w:tcPr>
          <w:p w14:paraId="20EA1CBE">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ascii="仿宋_GB2312" w:hAnsi="仿宋_GB2312" w:eastAsia="仿宋_GB2312" w:cs="仿宋_GB2312"/>
                <w:sz w:val="24"/>
                <w:szCs w:val="24"/>
                <w:lang w:bidi="ar"/>
              </w:rPr>
            </w:pPr>
            <w:r>
              <w:rPr>
                <w:rFonts w:hint="eastAsia" w:ascii="仿宋_GB2312" w:hAnsi="仿宋_GB2312" w:eastAsia="仿宋_GB2312" w:cs="仿宋_GB2312"/>
                <w:sz w:val="24"/>
                <w:szCs w:val="24"/>
                <w:lang w:bidi="ar"/>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bookmarkStart w:id="3" w:name="_GoBack"/>
      <w:bookmarkEnd w:id="3"/>
      <w:r>
        <w:rPr>
          <w:rFonts w:hint="eastAsia" w:ascii="黑体" w:hAnsi="黑体" w:eastAsia="黑体" w:cs="仿宋_GB2312"/>
          <w:sz w:val="32"/>
          <w:szCs w:val="32"/>
        </w:rPr>
        <w:t>二、制定标准的必要性和意义</w:t>
      </w:r>
    </w:p>
    <w:p w14:paraId="50C39573">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2024年2月《中共中央、国务院关于学习运用“千村示范、万村整治”工程经验有力有效推进乡村全面振兴的意见》(2024年中央一号文件)，提出推进乡村全面振兴“路线图”。畜牧业作为三农领域的焦点之一，提出要加快推进种业振兴行动，加大种源关键核心技术攻关。中共中央、国务院印发《加快建设农业强国规划(2024一2035年)》强调，推动种业自主创新全面突破。深入实施种业振兴行动，加快实现种业科技自立自强、种源自主可控。加强种质资源保护利用，建设国际一流的国家农业种质资源保存、鉴定、创制和基因挖掘重大设施，推进种质资源交流共享。实施育种联合攻关和畜禽遗传改良计划，加快建设南繁硅谷。</w:t>
      </w:r>
    </w:p>
    <w:p w14:paraId="0971778D">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我国畜牧业历史悠久，多样化的地理、生态和气候条件，众多的民族及不同的生产生活方式，加之广大劳动者的长期驯养和精心选育，形成了丰富多彩的畜禽遗传资源。</w:t>
      </w:r>
    </w:p>
    <w:p w14:paraId="06823580">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七百弄鸡，原产地为广西壮族自治区河池市大化县。大化县属喀斯特地貌，境内峰丛密布，红水河贯穿大化全境。县境地处南亚热带季风气候区北缘，年平均气温18.2-21.7°C适宜养殖七百弄鸡。主要分布于大化县七百弄乡、雅龙乡、板升乡、大化镇、都阳镇、北景镇、岩滩镇、共和乡、贡川乡、六也乡、百马乡、古文乡、古河乡、江南乡、羌圩乡、乙圩乡等十六个乡镇，中心产区为七百弄乡、雅龙乡、板升乡。2015年全县饲养量161.2万只，其中出栏102.57万只。2016年底，大化县累计落实任务数62.083万羽，定购鸡苗数量55.9396万羽，全县累计饲养七百弄鸡数量48.2661万羽，2017年底，大化县新增七百弄鸡养殖62万羽。</w:t>
      </w:r>
    </w:p>
    <w:p w14:paraId="35EAD802">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2017年1月10日，中华人民共和国农业部正式批准对“七百弄鸡”实施农产品地理标志登记保护。2021年以来，大化县累计养殖七百弄鸡680.01万羽(其中存栏95.49万羽，累计出栏584.52万羽)，产值2.45亿元。2022年，全县累计通过订单等方式销售七百弄鸡37.6万羽，销售额达2500多万元，受益群众3.7万户14.8万人增收，带动脱贫户、监测户10693户。截至目前，该县共注册成立“七百弄鸡”养殖农民专业合作社55个，养殖覆盖全县16个乡(镇)158个行政村(社区)。2024年1至5月份，该县养殖七百弄鸡139.56万羽，出栏85.06万羽，存栏量54.5万羽，产量1348.32吨，产值2721.92万元，销售额达1400万元。</w:t>
      </w:r>
    </w:p>
    <w:p w14:paraId="66352E86">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cs="Times New Roman"/>
          <w:sz w:val="32"/>
          <w:szCs w:val="28"/>
        </w:rPr>
      </w:pPr>
      <w:r>
        <w:rPr>
          <w:rFonts w:hint="eastAsia" w:ascii="仿宋_GB2312" w:hAnsi="宋体" w:eastAsia="仿宋_GB2312" w:cs="Times New Roman"/>
          <w:sz w:val="32"/>
          <w:szCs w:val="28"/>
        </w:rPr>
        <w:t>2024年，七百弄鸡育种产业迎来历史性时刻一一其典型特征正式通过国家畜禽遗传资源委员会新品种审定，获农业农村部颁发新品种公告。七百弄种鸡的饲养管理正处在产业升级的关键阶段，首先在种源遗传管理层面，存在品种退化与遗传性状不稳定的挑战。由于历史上的农户自繁自养和缺乏系统性选育，种鸡群体面临外来血统混杂的风险，导致毛色、体重、生长速度等关键经济性状出现分化，影响了后代的整齐度和生产性能的稳定性，对品种的长期保纯和遗传改良构成潜在威胁。其次，饲养管理的规范化与精细化不足。从种鸡到商品鸡的生产过程缺乏统一、可操作的技术标准，尤其在营养饲喂、环境控制等关键环节，多依赖传统经验而非科学数据，操作的随意性较大，难以稳定、充分地发挥种鸡的最佳遗传潜力和生产性能。针对一些可垂直传播的疫病，其净化工作尚未形成系统性的技术方案和成熟的管控流程，相关的隔离、消毒等生物安全措施有待完善，这给种群健康带来了持续的风险。同时，专业人才与常态化技术支撑的缺失制约了管理水平的提升。本地化的专业技术人才和“乡土专家”队伍培育不足，使得先进的饲养管理理念和规范难以在一线养殖场有效落地和持续执行，技术推广的“最后一公里”问题亟待解决。</w:t>
      </w:r>
    </w:p>
    <w:p w14:paraId="597F1BA8">
      <w:pPr>
        <w:keepNext w:val="0"/>
        <w:keepLines w:val="0"/>
        <w:pageBreakBefore w:val="0"/>
        <w:kinsoku/>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cs="Times New Roman"/>
          <w:sz w:val="32"/>
          <w:szCs w:val="28"/>
        </w:rPr>
      </w:pPr>
      <w:r>
        <w:rPr>
          <w:rFonts w:hint="eastAsia" w:ascii="仿宋_GB2312" w:hAnsi="宋体" w:eastAsia="仿宋_GB2312" w:cs="Times New Roman"/>
          <w:sz w:val="32"/>
          <w:szCs w:val="28"/>
        </w:rPr>
        <w:t>通过制定团体标准《七百弄种鸡饲养管理技术规程》，以标准为抓手，统一规范七百弄种鸡养殖场建设、设备设施管理、饲养管理、饲料品质控制、繁殖、疫病防控、病死鸡处理等阶段操作指示，对提高七百弄种鸡饲养管理技术水平，确保优良基因遗传保留，促进七百弄种鸡养殖业高质量发展具有重要意义。</w:t>
      </w:r>
    </w:p>
    <w:p w14:paraId="64CFA7EF">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三、主要起草过程</w:t>
      </w:r>
    </w:p>
    <w:p w14:paraId="0D6A5644">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sz w:val="32"/>
          <w:szCs w:val="28"/>
        </w:rPr>
      </w:pPr>
      <w:r>
        <w:rPr>
          <w:rFonts w:hint="eastAsia" w:ascii="楷体" w:hAnsi="楷体" w:eastAsia="楷体" w:cs="仿宋_GB2312"/>
          <w:b/>
          <w:sz w:val="32"/>
          <w:szCs w:val="28"/>
        </w:rPr>
        <w:t>（一）成立标准编制工作组</w:t>
      </w:r>
    </w:p>
    <w:p w14:paraId="437C2B6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团体标准《</w:t>
      </w:r>
      <w:r>
        <w:rPr>
          <w:rFonts w:hint="eastAsia" w:ascii="仿宋_GB2312" w:hAnsi="宋体" w:eastAsia="仿宋_GB2312" w:cs="Times New Roman"/>
          <w:sz w:val="32"/>
          <w:szCs w:val="28"/>
        </w:rPr>
        <w:t>七百弄种鸡饲养管理技术规程</w:t>
      </w:r>
      <w:r>
        <w:rPr>
          <w:rFonts w:hint="eastAsia" w:ascii="仿宋_GB2312" w:hAnsi="宋体" w:eastAsia="仿宋_GB2312"/>
          <w:sz w:val="32"/>
          <w:szCs w:val="28"/>
        </w:rPr>
        <w:t>》项目任务下达后，</w:t>
      </w:r>
      <w:r>
        <w:rPr>
          <w:rFonts w:hint="eastAsia" w:ascii="仿宋_GB2312" w:hAnsi="宋体" w:eastAsia="仿宋_GB2312" w:cs="Times New Roman"/>
          <w:sz w:val="32"/>
          <w:szCs w:val="28"/>
          <w:lang w:val="en-US" w:eastAsia="zh-CN"/>
        </w:rPr>
        <w:t>广西农业职业技术大学</w:t>
      </w:r>
      <w:r>
        <w:rPr>
          <w:rFonts w:hint="eastAsia" w:ascii="仿宋_GB2312" w:hAnsi="宋体" w:eastAsia="仿宋_GB2312" w:cs="Times New Roman"/>
          <w:sz w:val="32"/>
          <w:szCs w:val="28"/>
        </w:rPr>
        <w:t>成立了标准</w:t>
      </w:r>
      <w:r>
        <w:rPr>
          <w:rFonts w:hint="eastAsia" w:ascii="仿宋_GB2312" w:hAnsi="宋体" w:eastAsia="仿宋_GB2312"/>
          <w:sz w:val="32"/>
          <w:szCs w:val="28"/>
        </w:rPr>
        <w:t>编制工作组，起草单位制定了起草编写方案与进度安排，明确任务职责，确定工作技术路线，开展标准研制工作。具体标准编制工作由</w:t>
      </w:r>
      <w:r>
        <w:rPr>
          <w:rFonts w:hint="eastAsia" w:ascii="仿宋_GB2312" w:hAnsi="宋体" w:eastAsia="仿宋_GB2312"/>
          <w:sz w:val="32"/>
          <w:szCs w:val="28"/>
          <w:highlight w:val="none"/>
        </w:rPr>
        <w:t>广西农业职业技术大学、广西壮族自治区水牛研究所、大化瑶族自治县七百弄鸡产业发展中心</w:t>
      </w:r>
      <w:r>
        <w:rPr>
          <w:rFonts w:hint="eastAsia" w:ascii="仿宋_GB2312" w:hAnsi="宋体" w:eastAsia="仿宋_GB2312"/>
          <w:sz w:val="32"/>
          <w:szCs w:val="28"/>
        </w:rPr>
        <w:t>等单位负责人组成的标准编制工作组完成。</w:t>
      </w:r>
    </w:p>
    <w:p w14:paraId="0D99A07B">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编制工作组下设三个组，分别是资料收集组、草案编写组、标准实施组。</w:t>
      </w:r>
    </w:p>
    <w:p w14:paraId="59AE398B">
      <w:pPr>
        <w:pStyle w:val="6"/>
        <w:keepNext w:val="0"/>
        <w:keepLines w:val="0"/>
        <w:widowControl/>
        <w:suppressLineNumbers w:val="0"/>
        <w:spacing w:before="0" w:beforeAutospacing="0" w:after="0" w:afterAutospacing="0"/>
        <w:ind w:left="0" w:right="0" w:firstLine="0"/>
        <w:rPr>
          <w:rFonts w:ascii="仿宋_GB2312" w:hAnsi="宋体" w:eastAsia="仿宋_GB2312"/>
          <w:sz w:val="32"/>
          <w:szCs w:val="28"/>
        </w:rPr>
      </w:pPr>
      <w:r>
        <w:rPr>
          <w:rFonts w:hint="eastAsia" w:ascii="仿宋_GB2312" w:hAnsi="宋体" w:eastAsia="仿宋_GB2312" w:cs="Times New Roman"/>
          <w:kern w:val="2"/>
          <w:sz w:val="32"/>
          <w:szCs w:val="28"/>
          <w:lang w:val="en-US" w:eastAsia="zh-CN" w:bidi="ar-SA"/>
        </w:rPr>
        <w:t>资料收集组负责国内外有关七百弄种鸡饲养管理的文献资料的</w:t>
      </w:r>
      <w:r>
        <w:rPr>
          <w:rFonts w:hint="eastAsia" w:ascii="仿宋_GB2312" w:hAnsi="宋体" w:eastAsia="仿宋_GB2312"/>
          <w:sz w:val="32"/>
          <w:szCs w:val="28"/>
        </w:rPr>
        <w:t>查询、收集和整理工作，查阅前人对</w:t>
      </w:r>
      <w:r>
        <w:rPr>
          <w:rFonts w:hint="eastAsia" w:ascii="仿宋_GB2312" w:hAnsi="宋体" w:eastAsia="仿宋_GB2312" w:cs="Times New Roman"/>
          <w:kern w:val="2"/>
          <w:sz w:val="32"/>
          <w:szCs w:val="28"/>
          <w:lang w:val="en-US" w:eastAsia="zh-CN" w:bidi="ar-SA"/>
        </w:rPr>
        <w:t>七百弄种鸡饲养管理</w:t>
      </w:r>
      <w:r>
        <w:rPr>
          <w:rFonts w:hint="eastAsia" w:ascii="仿宋_GB2312" w:hAnsi="宋体" w:eastAsia="仿宋_GB2312"/>
          <w:sz w:val="32"/>
          <w:szCs w:val="28"/>
        </w:rPr>
        <w:t>的研究情况。</w:t>
      </w:r>
    </w:p>
    <w:p w14:paraId="0BE25F71">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标准实施组负责团体标准《</w:t>
      </w:r>
      <w:r>
        <w:rPr>
          <w:rFonts w:hint="eastAsia" w:ascii="仿宋_GB2312" w:hAnsi="宋体" w:eastAsia="仿宋_GB2312" w:cs="Times New Roman"/>
          <w:sz w:val="32"/>
          <w:szCs w:val="28"/>
        </w:rPr>
        <w:t>七百弄种鸡饲养管理技术规程</w:t>
      </w:r>
      <w:r>
        <w:rPr>
          <w:rFonts w:hint="eastAsia" w:ascii="仿宋_GB2312" w:hAnsi="宋体" w:eastAsia="仿宋_GB2312"/>
          <w:sz w:val="32"/>
          <w:szCs w:val="28"/>
        </w:rPr>
        <w:t>》发布后，组织相关企事业单位开展标准宣贯培训会，对标准进行详细解读，让相关人员了解标准，并根据标准对</w:t>
      </w:r>
      <w:r>
        <w:rPr>
          <w:rFonts w:hint="eastAsia" w:ascii="仿宋_GB2312" w:hAnsi="宋体" w:eastAsia="仿宋_GB2312" w:cs="Times New Roman"/>
          <w:sz w:val="32"/>
          <w:szCs w:val="28"/>
        </w:rPr>
        <w:t>七百弄种鸡饲养管理</w:t>
      </w:r>
      <w:r>
        <w:rPr>
          <w:rFonts w:hint="eastAsia" w:ascii="仿宋_GB2312" w:hAnsi="宋体" w:eastAsia="仿宋_GB2312"/>
          <w:sz w:val="32"/>
          <w:szCs w:val="28"/>
        </w:rPr>
        <w:t>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rPr>
      </w:pPr>
      <w:r>
        <w:rPr>
          <w:rFonts w:hint="eastAsia" w:ascii="楷体" w:hAnsi="楷体" w:eastAsia="楷体" w:cs="仿宋_GB2312"/>
          <w:b/>
          <w:sz w:val="32"/>
          <w:szCs w:val="28"/>
        </w:rPr>
        <w:t>（二）收集整理文献资料</w:t>
      </w:r>
    </w:p>
    <w:p w14:paraId="2B9611BD">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lang w:val="fr-FR"/>
        </w:rPr>
      </w:pPr>
      <w:r>
        <w:rPr>
          <w:rFonts w:hint="eastAsia" w:ascii="仿宋_GB2312" w:hAnsi="宋体" w:eastAsia="仿宋_GB2312"/>
          <w:sz w:val="32"/>
          <w:szCs w:val="28"/>
        </w:rPr>
        <w:t>标准编制工作组收集了国内有关</w:t>
      </w:r>
      <w:r>
        <w:rPr>
          <w:rFonts w:hint="eastAsia" w:ascii="仿宋_GB2312" w:hAnsi="宋体" w:eastAsia="仿宋_GB2312" w:cs="Times New Roman"/>
          <w:sz w:val="32"/>
          <w:szCs w:val="28"/>
        </w:rPr>
        <w:t>七百弄种鸡饲养管理</w:t>
      </w:r>
      <w:r>
        <w:rPr>
          <w:rFonts w:hint="eastAsia" w:ascii="仿宋_GB2312" w:hAnsi="宋体" w:eastAsia="仿宋_GB2312"/>
          <w:sz w:val="32"/>
          <w:szCs w:val="28"/>
        </w:rPr>
        <w:t>相关文献资料。主要有</w:t>
      </w:r>
      <w:r>
        <w:rPr>
          <w:rFonts w:hint="eastAsia" w:ascii="仿宋_GB2312" w:hAnsi="宋体" w:eastAsia="仿宋_GB2312"/>
          <w:sz w:val="32"/>
          <w:szCs w:val="28"/>
          <w:lang w:val="fr-FR"/>
        </w:rPr>
        <w:t>：</w:t>
      </w:r>
    </w:p>
    <w:p w14:paraId="6616635D">
      <w:pPr>
        <w:keepNext w:val="0"/>
        <w:keepLines w:val="0"/>
        <w:pageBreakBefore w:val="0"/>
        <w:numPr>
          <w:ilvl w:val="0"/>
          <w:numId w:val="0"/>
        </w:numPr>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w:t>
      </w:r>
      <w:r>
        <w:rPr>
          <w:rFonts w:hint="eastAsia" w:ascii="仿宋_GB2312" w:hAnsi="宋体" w:eastAsia="仿宋_GB2312"/>
          <w:sz w:val="32"/>
          <w:szCs w:val="28"/>
        </w:rPr>
        <w:t>T/GXAS 179-2021</w:t>
      </w:r>
      <w:r>
        <w:rPr>
          <w:rFonts w:hint="eastAsia" w:ascii="仿宋_GB2312" w:hAnsi="宋体"/>
          <w:sz w:val="32"/>
          <w:szCs w:val="28"/>
          <w:lang w:val="en-US" w:eastAsia="zh-CN"/>
        </w:rPr>
        <w:t xml:space="preserve"> </w:t>
      </w:r>
      <w:r>
        <w:rPr>
          <w:rFonts w:hint="eastAsia" w:ascii="仿宋_GB2312" w:hAnsi="宋体" w:eastAsia="仿宋_GB2312"/>
          <w:sz w:val="32"/>
          <w:szCs w:val="28"/>
        </w:rPr>
        <w:t xml:space="preserve"> 地理标志农产品</w:t>
      </w:r>
      <w:r>
        <w:rPr>
          <w:rFonts w:hint="eastAsia" w:ascii="仿宋_GB2312" w:hAnsi="宋体"/>
          <w:sz w:val="32"/>
          <w:szCs w:val="28"/>
          <w:lang w:val="en-US" w:eastAsia="zh-CN"/>
        </w:rPr>
        <w:t xml:space="preserve"> </w:t>
      </w:r>
      <w:r>
        <w:rPr>
          <w:rFonts w:hint="eastAsia" w:ascii="仿宋_GB2312" w:hAnsi="宋体" w:eastAsia="仿宋_GB2312"/>
          <w:sz w:val="32"/>
          <w:szCs w:val="28"/>
        </w:rPr>
        <w:t xml:space="preserve"> 七百弄鸡育雏技术规程</w:t>
      </w:r>
    </w:p>
    <w:p w14:paraId="58DF6C8B">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ascii="仿宋_GB2312" w:hAnsi="宋体" w:eastAsia="仿宋_GB2312" w:cs="Times New Roman"/>
          <w:kern w:val="2"/>
          <w:sz w:val="32"/>
          <w:szCs w:val="28"/>
          <w:lang w:val="en-US" w:eastAsia="zh-CN" w:bidi="ar-SA"/>
        </w:rPr>
        <w:t>（</w:t>
      </w:r>
      <w:r>
        <w:rPr>
          <w:rFonts w:hint="eastAsia" w:ascii="仿宋_GB2312" w:hAnsi="宋体" w:cs="Times New Roman"/>
          <w:kern w:val="2"/>
          <w:sz w:val="32"/>
          <w:szCs w:val="28"/>
          <w:lang w:val="en-US" w:eastAsia="zh-CN" w:bidi="ar-SA"/>
        </w:rPr>
        <w:t>2</w:t>
      </w:r>
      <w:r>
        <w:rPr>
          <w:rFonts w:ascii="仿宋_GB2312" w:hAnsi="宋体" w:eastAsia="仿宋_GB2312" w:cs="Times New Roman"/>
          <w:kern w:val="2"/>
          <w:sz w:val="32"/>
          <w:szCs w:val="28"/>
          <w:lang w:val="en-US" w:eastAsia="zh-CN" w:bidi="ar-SA"/>
        </w:rPr>
        <w:t>）</w:t>
      </w:r>
      <w:r>
        <w:rPr>
          <w:rFonts w:hint="eastAsia" w:ascii="仿宋_GB2312" w:hAnsi="宋体" w:eastAsia="仿宋_GB2312"/>
          <w:sz w:val="32"/>
          <w:szCs w:val="28"/>
        </w:rPr>
        <w:t xml:space="preserve">T/GXAS 177-2021 </w:t>
      </w:r>
      <w:r>
        <w:rPr>
          <w:rFonts w:hint="eastAsia" w:ascii="仿宋_GB2312" w:hAnsi="宋体"/>
          <w:sz w:val="32"/>
          <w:szCs w:val="28"/>
          <w:lang w:val="en-US" w:eastAsia="zh-CN"/>
        </w:rPr>
        <w:t xml:space="preserve"> </w:t>
      </w:r>
      <w:r>
        <w:rPr>
          <w:rFonts w:hint="eastAsia" w:ascii="仿宋_GB2312" w:hAnsi="宋体" w:eastAsia="仿宋_GB2312"/>
          <w:sz w:val="32"/>
          <w:szCs w:val="28"/>
        </w:rPr>
        <w:t xml:space="preserve">地理标志衣产品 </w:t>
      </w:r>
      <w:r>
        <w:rPr>
          <w:rFonts w:hint="eastAsia" w:ascii="仿宋_GB2312" w:hAnsi="宋体"/>
          <w:sz w:val="32"/>
          <w:szCs w:val="28"/>
          <w:lang w:val="en-US" w:eastAsia="zh-CN"/>
        </w:rPr>
        <w:t xml:space="preserve"> </w:t>
      </w:r>
      <w:r>
        <w:rPr>
          <w:rFonts w:hint="eastAsia" w:ascii="仿宋_GB2312" w:hAnsi="宋体" w:eastAsia="仿宋_GB2312"/>
          <w:sz w:val="32"/>
          <w:szCs w:val="28"/>
        </w:rPr>
        <w:t>七百弄鸡</w:t>
      </w:r>
    </w:p>
    <w:p w14:paraId="7C9FA945">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3）</w:t>
      </w:r>
      <w:r>
        <w:rPr>
          <w:rFonts w:hint="eastAsia" w:ascii="仿宋_GB2312" w:hAnsi="宋体" w:eastAsia="仿宋_GB2312"/>
          <w:sz w:val="32"/>
          <w:szCs w:val="28"/>
        </w:rPr>
        <w:t xml:space="preserve">T/GXAS 180-2021 </w:t>
      </w:r>
      <w:r>
        <w:rPr>
          <w:rFonts w:hint="eastAsia" w:ascii="仿宋_GB2312" w:hAnsi="宋体"/>
          <w:sz w:val="32"/>
          <w:szCs w:val="28"/>
          <w:lang w:val="en-US" w:eastAsia="zh-CN"/>
        </w:rPr>
        <w:t xml:space="preserve"> </w:t>
      </w:r>
      <w:r>
        <w:rPr>
          <w:rFonts w:hint="eastAsia" w:ascii="仿宋_GB2312" w:hAnsi="宋体" w:eastAsia="仿宋_GB2312"/>
          <w:sz w:val="32"/>
          <w:szCs w:val="28"/>
        </w:rPr>
        <w:t>地理标志农产品七百弄鸡生态养殖技术规程</w:t>
      </w:r>
    </w:p>
    <w:p w14:paraId="4ECA9138">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4）</w:t>
      </w:r>
      <w:r>
        <w:rPr>
          <w:rFonts w:hint="eastAsia" w:ascii="仿宋_GB2312" w:hAnsi="宋体" w:eastAsia="仿宋_GB2312"/>
          <w:sz w:val="32"/>
          <w:szCs w:val="28"/>
        </w:rPr>
        <w:t xml:space="preserve">T/GXAS 178-2021 </w:t>
      </w:r>
      <w:r>
        <w:rPr>
          <w:rFonts w:hint="eastAsia" w:ascii="仿宋_GB2312" w:hAnsi="宋体"/>
          <w:sz w:val="32"/>
          <w:szCs w:val="28"/>
          <w:lang w:val="en-US" w:eastAsia="zh-CN"/>
        </w:rPr>
        <w:t xml:space="preserve"> </w:t>
      </w:r>
      <w:r>
        <w:rPr>
          <w:rFonts w:hint="eastAsia" w:ascii="仿宋_GB2312" w:hAnsi="宋体" w:eastAsia="仿宋_GB2312"/>
          <w:sz w:val="32"/>
          <w:szCs w:val="28"/>
        </w:rPr>
        <w:t xml:space="preserve">地理标志农产品 </w:t>
      </w:r>
      <w:r>
        <w:rPr>
          <w:rFonts w:hint="eastAsia" w:ascii="仿宋_GB2312" w:hAnsi="宋体"/>
          <w:sz w:val="32"/>
          <w:szCs w:val="28"/>
          <w:lang w:val="en-US" w:eastAsia="zh-CN"/>
        </w:rPr>
        <w:t xml:space="preserve"> </w:t>
      </w:r>
      <w:r>
        <w:rPr>
          <w:rFonts w:hint="eastAsia" w:ascii="仿宋_GB2312" w:hAnsi="宋体" w:eastAsia="仿宋_GB2312"/>
          <w:sz w:val="32"/>
          <w:szCs w:val="28"/>
        </w:rPr>
        <w:t>七百弄鸡养殖场防疫技术规范</w:t>
      </w:r>
    </w:p>
    <w:p w14:paraId="46CA3070">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5）</w:t>
      </w:r>
      <w:r>
        <w:rPr>
          <w:rFonts w:hint="eastAsia" w:ascii="仿宋_GB2312" w:hAnsi="宋体" w:eastAsia="仿宋_GB2312"/>
          <w:sz w:val="32"/>
          <w:szCs w:val="28"/>
        </w:rPr>
        <w:t>GB/T 43173-2023</w:t>
      </w:r>
      <w:r>
        <w:rPr>
          <w:rFonts w:hint="eastAsia" w:ascii="仿宋_GB2312" w:hAnsi="宋体"/>
          <w:sz w:val="32"/>
          <w:szCs w:val="28"/>
          <w:lang w:val="en-US" w:eastAsia="zh-CN"/>
        </w:rPr>
        <w:t xml:space="preserve">  </w:t>
      </w:r>
      <w:r>
        <w:rPr>
          <w:rFonts w:hint="eastAsia" w:ascii="仿宋_GB2312" w:hAnsi="宋体" w:eastAsia="仿宋_GB2312"/>
          <w:sz w:val="32"/>
          <w:szCs w:val="28"/>
        </w:rPr>
        <w:t>种鸡场鸡白痢沙门菌净化规程</w:t>
      </w:r>
    </w:p>
    <w:p w14:paraId="3E1AE0B2">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6）</w:t>
      </w:r>
      <w:r>
        <w:rPr>
          <w:rFonts w:hint="eastAsia" w:ascii="仿宋_GB2312" w:hAnsi="宋体" w:eastAsia="仿宋_GB2312"/>
          <w:sz w:val="32"/>
          <w:szCs w:val="28"/>
        </w:rPr>
        <w:t xml:space="preserve">NY/T 4639-2025 </w:t>
      </w:r>
      <w:r>
        <w:rPr>
          <w:rFonts w:hint="eastAsia" w:ascii="仿宋_GB2312" w:hAnsi="宋体"/>
          <w:sz w:val="32"/>
          <w:szCs w:val="28"/>
          <w:lang w:val="en-US" w:eastAsia="zh-CN"/>
        </w:rPr>
        <w:t xml:space="preserve"> </w:t>
      </w:r>
      <w:r>
        <w:rPr>
          <w:rFonts w:hint="eastAsia" w:ascii="仿宋_GB2312" w:hAnsi="宋体" w:eastAsia="仿宋_GB2312"/>
          <w:sz w:val="32"/>
          <w:szCs w:val="28"/>
        </w:rPr>
        <w:t>种鸡本交笼饲养技术规范</w:t>
      </w:r>
    </w:p>
    <w:p w14:paraId="6E014558">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7）</w:t>
      </w:r>
      <w:r>
        <w:rPr>
          <w:rFonts w:hint="eastAsia" w:ascii="仿宋_GB2312" w:hAnsi="宋体" w:eastAsia="仿宋_GB2312"/>
          <w:sz w:val="32"/>
          <w:szCs w:val="28"/>
        </w:rPr>
        <w:t xml:space="preserve">NY/T 1620-2016 </w:t>
      </w:r>
      <w:r>
        <w:rPr>
          <w:rFonts w:hint="eastAsia" w:ascii="仿宋_GB2312" w:hAnsi="宋体"/>
          <w:sz w:val="32"/>
          <w:szCs w:val="28"/>
          <w:lang w:val="en-US" w:eastAsia="zh-CN"/>
        </w:rPr>
        <w:t xml:space="preserve"> </w:t>
      </w:r>
      <w:r>
        <w:rPr>
          <w:rFonts w:hint="eastAsia" w:ascii="仿宋_GB2312" w:hAnsi="宋体" w:eastAsia="仿宋_GB2312"/>
          <w:sz w:val="32"/>
          <w:szCs w:val="28"/>
        </w:rPr>
        <w:t>种鸡场动物卫生规范</w:t>
      </w:r>
    </w:p>
    <w:p w14:paraId="6C673B0D">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8）</w:t>
      </w:r>
      <w:r>
        <w:rPr>
          <w:rFonts w:hint="eastAsia" w:ascii="仿宋_GB2312" w:hAnsi="宋体" w:eastAsia="仿宋_GB2312"/>
          <w:sz w:val="32"/>
          <w:szCs w:val="28"/>
        </w:rPr>
        <w:t>NY/T 4045-2021 种鸡场新城疫免疫无疫控制技术规范</w:t>
      </w:r>
    </w:p>
    <w:p w14:paraId="4AB96F49">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9）</w:t>
      </w:r>
      <w:r>
        <w:rPr>
          <w:rFonts w:hint="eastAsia" w:ascii="仿宋_GB2312" w:hAnsi="宋体" w:eastAsia="仿宋_GB2312"/>
          <w:sz w:val="32"/>
          <w:szCs w:val="28"/>
        </w:rPr>
        <w:t xml:space="preserve">NY/T 3458-2019 </w:t>
      </w:r>
      <w:r>
        <w:rPr>
          <w:rFonts w:hint="eastAsia" w:ascii="仿宋_GB2312" w:hAnsi="宋体"/>
          <w:sz w:val="32"/>
          <w:szCs w:val="28"/>
          <w:lang w:val="en-US" w:eastAsia="zh-CN"/>
        </w:rPr>
        <w:t xml:space="preserve"> </w:t>
      </w:r>
      <w:r>
        <w:rPr>
          <w:rFonts w:hint="eastAsia" w:ascii="仿宋_GB2312" w:hAnsi="宋体" w:eastAsia="仿宋_GB2312"/>
          <w:sz w:val="32"/>
          <w:szCs w:val="28"/>
        </w:rPr>
        <w:t>种鸡人工授精技术规程</w:t>
      </w:r>
    </w:p>
    <w:p w14:paraId="4AFF2908">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10）</w:t>
      </w:r>
      <w:r>
        <w:rPr>
          <w:rFonts w:hint="eastAsia" w:ascii="仿宋_GB2312" w:hAnsi="宋体" w:eastAsia="仿宋_GB2312"/>
          <w:sz w:val="32"/>
          <w:szCs w:val="28"/>
        </w:rPr>
        <w:t>GB/T 36873-2018</w:t>
      </w:r>
      <w:r>
        <w:rPr>
          <w:rFonts w:hint="eastAsia" w:ascii="仿宋_GB2312" w:hAnsi="宋体"/>
          <w:sz w:val="32"/>
          <w:szCs w:val="28"/>
          <w:lang w:val="en-US" w:eastAsia="zh-CN"/>
        </w:rPr>
        <w:t xml:space="preserve"> </w:t>
      </w:r>
      <w:r>
        <w:rPr>
          <w:rFonts w:hint="eastAsia" w:ascii="仿宋_GB2312" w:hAnsi="宋体" w:eastAsia="仿宋_GB2312"/>
          <w:sz w:val="32"/>
          <w:szCs w:val="28"/>
        </w:rPr>
        <w:t xml:space="preserve"> 原种鸡群禽白血病净化检测规程</w:t>
      </w:r>
    </w:p>
    <w:p w14:paraId="64DC5AE7">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11）</w:t>
      </w:r>
      <w:r>
        <w:rPr>
          <w:rFonts w:hint="eastAsia" w:ascii="仿宋_GB2312" w:hAnsi="宋体" w:eastAsia="仿宋_GB2312"/>
          <w:sz w:val="32"/>
          <w:szCs w:val="28"/>
        </w:rPr>
        <w:t xml:space="preserve">DB52/T 1712-2023 </w:t>
      </w:r>
      <w:r>
        <w:rPr>
          <w:rFonts w:hint="eastAsia" w:ascii="仿宋_GB2312" w:hAnsi="宋体"/>
          <w:sz w:val="32"/>
          <w:szCs w:val="28"/>
          <w:lang w:val="en-US" w:eastAsia="zh-CN"/>
        </w:rPr>
        <w:t xml:space="preserve"> </w:t>
      </w:r>
      <w:r>
        <w:rPr>
          <w:rFonts w:hint="eastAsia" w:ascii="仿宋_GB2312" w:hAnsi="宋体" w:eastAsia="仿宋_GB2312"/>
          <w:sz w:val="32"/>
          <w:szCs w:val="28"/>
        </w:rPr>
        <w:t>种鸡场鸡白痢净化技术规范</w:t>
      </w:r>
    </w:p>
    <w:p w14:paraId="0B234887">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12）</w:t>
      </w:r>
      <w:r>
        <w:rPr>
          <w:rFonts w:hint="eastAsia" w:ascii="仿宋_GB2312" w:hAnsi="宋体" w:eastAsia="仿宋_GB2312"/>
          <w:sz w:val="32"/>
          <w:szCs w:val="28"/>
        </w:rPr>
        <w:t xml:space="preserve">DB45/T 2604-2022 </w:t>
      </w:r>
      <w:r>
        <w:rPr>
          <w:rFonts w:hint="eastAsia" w:ascii="仿宋_GB2312" w:hAnsi="宋体"/>
          <w:sz w:val="32"/>
          <w:szCs w:val="28"/>
          <w:lang w:val="en-US" w:eastAsia="zh-CN"/>
        </w:rPr>
        <w:t xml:space="preserve"> </w:t>
      </w:r>
      <w:r>
        <w:rPr>
          <w:rFonts w:hint="eastAsia" w:ascii="仿宋_GB2312" w:hAnsi="宋体" w:eastAsia="仿宋_GB2312"/>
          <w:sz w:val="32"/>
          <w:szCs w:val="28"/>
        </w:rPr>
        <w:t>参皇鸡种鸡生态养殖技术规范</w:t>
      </w:r>
    </w:p>
    <w:p w14:paraId="20EC5BCA">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13）</w:t>
      </w:r>
      <w:r>
        <w:rPr>
          <w:rFonts w:hint="eastAsia" w:ascii="仿宋_GB2312" w:hAnsi="宋体" w:eastAsia="仿宋_GB2312"/>
          <w:sz w:val="32"/>
          <w:szCs w:val="28"/>
        </w:rPr>
        <w:t xml:space="preserve">DB32/T 3624-2019 </w:t>
      </w:r>
      <w:r>
        <w:rPr>
          <w:rFonts w:hint="eastAsia" w:ascii="仿宋_GB2312" w:hAnsi="宋体"/>
          <w:sz w:val="32"/>
          <w:szCs w:val="28"/>
          <w:lang w:val="en-US" w:eastAsia="zh-CN"/>
        </w:rPr>
        <w:t xml:space="preserve"> </w:t>
      </w:r>
      <w:r>
        <w:rPr>
          <w:rFonts w:hint="eastAsia" w:ascii="仿宋_GB2312" w:hAnsi="宋体" w:eastAsia="仿宋_GB2312"/>
          <w:sz w:val="32"/>
          <w:szCs w:val="28"/>
        </w:rPr>
        <w:t>种鸡场鸡白痢净化技术规程</w:t>
      </w:r>
    </w:p>
    <w:p w14:paraId="6CABC422">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14）</w:t>
      </w:r>
      <w:r>
        <w:rPr>
          <w:rFonts w:hint="eastAsia" w:ascii="仿宋_GB2312" w:hAnsi="宋体" w:eastAsia="仿宋_GB2312"/>
          <w:sz w:val="32"/>
          <w:szCs w:val="28"/>
        </w:rPr>
        <w:t xml:space="preserve">DB34/T 3297-2018 </w:t>
      </w:r>
      <w:r>
        <w:rPr>
          <w:rFonts w:hint="eastAsia" w:ascii="仿宋_GB2312" w:hAnsi="宋体"/>
          <w:sz w:val="32"/>
          <w:szCs w:val="28"/>
          <w:lang w:val="en-US" w:eastAsia="zh-CN"/>
        </w:rPr>
        <w:t xml:space="preserve"> </w:t>
      </w:r>
      <w:r>
        <w:rPr>
          <w:rFonts w:hint="eastAsia" w:ascii="仿宋_GB2312" w:hAnsi="宋体" w:eastAsia="仿宋_GB2312"/>
          <w:sz w:val="32"/>
          <w:szCs w:val="28"/>
        </w:rPr>
        <w:t>七彩山鸡种鸡养殖技术规程</w:t>
      </w:r>
    </w:p>
    <w:p w14:paraId="2EAD8D87">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15）</w:t>
      </w:r>
      <w:r>
        <w:rPr>
          <w:rFonts w:hint="eastAsia" w:ascii="仿宋_GB2312" w:hAnsi="宋体" w:eastAsia="仿宋_GB2312"/>
          <w:sz w:val="32"/>
          <w:szCs w:val="28"/>
        </w:rPr>
        <w:t xml:space="preserve">DB34/T 1610-2018 </w:t>
      </w:r>
      <w:r>
        <w:rPr>
          <w:rFonts w:hint="eastAsia" w:ascii="仿宋_GB2312" w:hAnsi="宋体"/>
          <w:sz w:val="32"/>
          <w:szCs w:val="28"/>
          <w:lang w:val="en-US" w:eastAsia="zh-CN"/>
        </w:rPr>
        <w:t xml:space="preserve"> </w:t>
      </w:r>
      <w:r>
        <w:rPr>
          <w:rFonts w:hint="eastAsia" w:ascii="仿宋_GB2312" w:hAnsi="宋体" w:eastAsia="仿宋_GB2312"/>
          <w:sz w:val="32"/>
          <w:szCs w:val="28"/>
        </w:rPr>
        <w:t>淮北麻鸡种鸡饲养管理规程</w:t>
      </w:r>
    </w:p>
    <w:p w14:paraId="5FF8F0F8">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16）</w:t>
      </w:r>
      <w:r>
        <w:rPr>
          <w:rFonts w:hint="eastAsia" w:ascii="仿宋_GB2312" w:hAnsi="宋体" w:eastAsia="仿宋_GB2312"/>
          <w:sz w:val="32"/>
          <w:szCs w:val="28"/>
        </w:rPr>
        <w:t>DB11/T 430-2018 种鸡场舍区、场区、缓冲区环境质量要求</w:t>
      </w:r>
    </w:p>
    <w:p w14:paraId="766EA75E">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17）</w:t>
      </w:r>
      <w:r>
        <w:rPr>
          <w:rFonts w:hint="eastAsia" w:ascii="仿宋_GB2312" w:hAnsi="宋体" w:eastAsia="仿宋_GB2312"/>
          <w:sz w:val="32"/>
          <w:szCs w:val="28"/>
        </w:rPr>
        <w:t xml:space="preserve">DB36/T 667-2018 </w:t>
      </w:r>
      <w:r>
        <w:rPr>
          <w:rFonts w:hint="eastAsia" w:ascii="仿宋_GB2312" w:hAnsi="宋体"/>
          <w:sz w:val="32"/>
          <w:szCs w:val="28"/>
          <w:lang w:val="en-US" w:eastAsia="zh-CN"/>
        </w:rPr>
        <w:t xml:space="preserve"> </w:t>
      </w:r>
      <w:r>
        <w:rPr>
          <w:rFonts w:hint="eastAsia" w:ascii="仿宋_GB2312" w:hAnsi="宋体" w:eastAsia="仿宋_GB2312"/>
          <w:sz w:val="32"/>
          <w:szCs w:val="28"/>
        </w:rPr>
        <w:t>泰和乌鸡种鸡生产技术规程</w:t>
      </w:r>
    </w:p>
    <w:p w14:paraId="1A2D98CE">
      <w:pPr>
        <w:keepNext w:val="0"/>
        <w:keepLines w:val="0"/>
        <w:pageBreakBefore w:val="0"/>
        <w:numPr>
          <w:ilvl w:val="0"/>
          <w:numId w:val="0"/>
        </w:numPr>
        <w:kinsoku/>
        <w:overflowPunct/>
        <w:topLinePunct w:val="0"/>
        <w:bidi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18）</w:t>
      </w:r>
      <w:r>
        <w:rPr>
          <w:rFonts w:hint="eastAsia" w:ascii="仿宋_GB2312" w:hAnsi="宋体" w:eastAsia="仿宋_GB2312"/>
          <w:sz w:val="32"/>
          <w:szCs w:val="28"/>
        </w:rPr>
        <w:t xml:space="preserve">T/GARIRPA 024-2025 </w:t>
      </w:r>
      <w:r>
        <w:rPr>
          <w:rFonts w:hint="eastAsia" w:ascii="仿宋_GB2312" w:hAnsi="宋体"/>
          <w:sz w:val="32"/>
          <w:szCs w:val="28"/>
          <w:lang w:val="en-US" w:eastAsia="zh-CN"/>
        </w:rPr>
        <w:t xml:space="preserve"> </w:t>
      </w:r>
      <w:r>
        <w:rPr>
          <w:rFonts w:hint="eastAsia" w:ascii="仿宋_GB2312" w:hAnsi="宋体" w:eastAsia="仿宋_GB2312"/>
          <w:sz w:val="32"/>
          <w:szCs w:val="28"/>
        </w:rPr>
        <w:t>种鸡智慧养殖技术规范</w:t>
      </w:r>
    </w:p>
    <w:p w14:paraId="373342B9">
      <w:pPr>
        <w:keepNext w:val="0"/>
        <w:keepLines w:val="0"/>
        <w:pageBreakBefore w:val="0"/>
        <w:numPr>
          <w:ilvl w:val="0"/>
          <w:numId w:val="0"/>
        </w:numPr>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19）</w:t>
      </w:r>
      <w:r>
        <w:rPr>
          <w:rFonts w:hint="eastAsia" w:ascii="仿宋_GB2312" w:hAnsi="宋体" w:eastAsia="仿宋_GB2312"/>
          <w:sz w:val="32"/>
          <w:szCs w:val="28"/>
        </w:rPr>
        <w:t>DB36/T 2162-2025 修水黄羽乌鸡种鸡生产技术规程</w:t>
      </w:r>
    </w:p>
    <w:p w14:paraId="44937C7D">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rPr>
      </w:pPr>
      <w:r>
        <w:rPr>
          <w:rFonts w:hint="eastAsia" w:ascii="楷体" w:hAnsi="楷体" w:eastAsia="楷体" w:cs="仿宋_GB2312"/>
          <w:b/>
          <w:sz w:val="32"/>
          <w:szCs w:val="28"/>
        </w:rPr>
        <w:t>（三）研讨确定标准</w:t>
      </w:r>
      <w:r>
        <w:rPr>
          <w:rFonts w:hint="eastAsia" w:ascii="楷体" w:hAnsi="楷体" w:eastAsia="楷体" w:cs="仿宋_GB2312"/>
          <w:b/>
          <w:sz w:val="32"/>
          <w:szCs w:val="28"/>
          <w:lang w:val="en-US" w:eastAsia="zh-CN"/>
        </w:rPr>
        <w:t>特色、创新点、</w:t>
      </w:r>
      <w:r>
        <w:rPr>
          <w:rFonts w:hint="eastAsia" w:ascii="楷体" w:hAnsi="楷体" w:eastAsia="楷体" w:cs="仿宋_GB2312"/>
          <w:b/>
          <w:sz w:val="32"/>
          <w:szCs w:val="28"/>
        </w:rPr>
        <w:t>主体内容</w:t>
      </w:r>
    </w:p>
    <w:p w14:paraId="2963878A">
      <w:pPr>
        <w:keepNext w:val="0"/>
        <w:keepLines w:val="0"/>
        <w:pageBreakBefore w:val="0"/>
        <w:kinsoku/>
        <w:overflowPunct/>
        <w:topLinePunct w:val="0"/>
        <w:bidi w:val="0"/>
        <w:snapToGrid/>
        <w:ind w:firstLine="640" w:firstLineChars="200"/>
        <w:textAlignment w:val="auto"/>
        <w:rPr>
          <w:rFonts w:hint="eastAsia" w:ascii="仿宋_GB2312" w:hAnsi="宋体"/>
          <w:sz w:val="32"/>
          <w:szCs w:val="28"/>
          <w:lang w:val="en-US" w:eastAsia="zh-CN"/>
        </w:rPr>
      </w:pPr>
      <w:r>
        <w:rPr>
          <w:rFonts w:hint="eastAsia" w:ascii="仿宋_GB2312" w:hAnsi="宋体"/>
          <w:sz w:val="32"/>
          <w:szCs w:val="28"/>
          <w:lang w:val="en-US" w:eastAsia="zh-CN"/>
        </w:rPr>
        <w:t>1、创新点</w:t>
      </w:r>
    </w:p>
    <w:p w14:paraId="1F455DD6">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0"/>
        <w:textAlignment w:val="auto"/>
        <w:rPr>
          <w:rFonts w:hint="eastAsia" w:ascii="仿宋_GB2312" w:hAnsi="宋体" w:eastAsia="仿宋_GB2312" w:cs="Times New Roman"/>
          <w:kern w:val="2"/>
          <w:sz w:val="32"/>
          <w:szCs w:val="28"/>
          <w:lang w:val="en-US" w:eastAsia="zh-CN" w:bidi="ar-SA"/>
        </w:rPr>
      </w:pPr>
      <w:r>
        <w:rPr>
          <w:rFonts w:hint="default" w:ascii="仿宋_GB2312" w:hAnsi="宋体" w:eastAsia="仿宋_GB2312" w:cs="Times New Roman"/>
          <w:kern w:val="2"/>
          <w:sz w:val="32"/>
          <w:szCs w:val="28"/>
          <w:lang w:val="en-US" w:eastAsia="zh-CN" w:bidi="ar-SA"/>
        </w:rPr>
        <w:t>（1）开展种鸡不同发育阶段</w:t>
      </w:r>
      <w:r>
        <w:rPr>
          <w:rFonts w:hint="eastAsia" w:ascii="仿宋_GB2312" w:hAnsi="宋体" w:cs="Times New Roman"/>
          <w:kern w:val="2"/>
          <w:sz w:val="32"/>
          <w:szCs w:val="28"/>
          <w:lang w:val="en-US" w:eastAsia="zh-CN" w:bidi="ar-SA"/>
        </w:rPr>
        <w:t>营养</w:t>
      </w:r>
      <w:r>
        <w:rPr>
          <w:rFonts w:hint="default" w:ascii="仿宋_GB2312" w:hAnsi="宋体" w:eastAsia="仿宋_GB2312" w:cs="Times New Roman"/>
          <w:kern w:val="2"/>
          <w:sz w:val="32"/>
          <w:szCs w:val="28"/>
          <w:lang w:val="en-US" w:eastAsia="zh-CN" w:bidi="ar-SA"/>
        </w:rPr>
        <w:t>需求</w:t>
      </w:r>
      <w:r>
        <w:rPr>
          <w:rFonts w:hint="eastAsia" w:ascii="仿宋_GB2312" w:hAnsi="宋体" w:cs="Times New Roman"/>
          <w:kern w:val="2"/>
          <w:sz w:val="32"/>
          <w:szCs w:val="28"/>
          <w:lang w:val="en-US" w:eastAsia="zh-CN" w:bidi="ar-SA"/>
        </w:rPr>
        <w:t>研究</w:t>
      </w:r>
      <w:r>
        <w:rPr>
          <w:rFonts w:hint="default" w:ascii="仿宋_GB2312" w:hAnsi="宋体" w:eastAsia="仿宋_GB2312" w:cs="Times New Roman"/>
          <w:kern w:val="2"/>
          <w:sz w:val="32"/>
          <w:szCs w:val="28"/>
          <w:lang w:val="en-US" w:eastAsia="zh-CN" w:bidi="ar-SA"/>
        </w:rPr>
        <w:t>，确定能量、矿物质等关键营养素精准配比，形成分阶段专属饲料配方。精准指导饲喂量与频率，实现“按需供给”，显著提升成活率、产蛋率等核心指标及综合效益。</w:t>
      </w:r>
    </w:p>
    <w:p w14:paraId="0801849B">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0"/>
        <w:textAlignment w:val="auto"/>
        <w:rPr>
          <w:rFonts w:hint="default" w:ascii="仿宋_GB2312" w:hAnsi="宋体" w:eastAsia="仿宋_GB2312" w:cs="Times New Roman"/>
          <w:kern w:val="2"/>
          <w:sz w:val="32"/>
          <w:szCs w:val="28"/>
          <w:lang w:val="en-US" w:eastAsia="zh-CN" w:bidi="ar-SA"/>
        </w:rPr>
      </w:pPr>
      <w:r>
        <w:rPr>
          <w:rFonts w:hint="default" w:ascii="仿宋_GB2312" w:hAnsi="宋体" w:eastAsia="仿宋_GB2312" w:cs="Times New Roman"/>
          <w:kern w:val="2"/>
          <w:sz w:val="32"/>
          <w:szCs w:val="28"/>
          <w:lang w:val="en-US" w:eastAsia="zh-CN" w:bidi="ar-SA"/>
        </w:rPr>
        <w:t>（2）整合种鸡引进、环境调控、饲喂管理、疾病防控等全环节要点，基于养殖记录构建“记录-总结-规范-优化”闭环管理模式。提供详细操作流程与判定标准，直接指导日常管理，降低风险，保障种鸡品质稳定，为数据追溯与标准化推广奠基。</w:t>
      </w:r>
    </w:p>
    <w:p w14:paraId="74EC0460">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0"/>
        <w:textAlignment w:val="auto"/>
        <w:rPr>
          <w:rFonts w:hint="default" w:ascii="仿宋_GB2312" w:hAnsi="宋体" w:eastAsia="仿宋_GB2312" w:cs="Times New Roman"/>
          <w:kern w:val="2"/>
          <w:sz w:val="32"/>
          <w:szCs w:val="28"/>
          <w:lang w:val="en-US" w:eastAsia="zh-CN" w:bidi="ar-SA"/>
        </w:rPr>
      </w:pPr>
      <w:r>
        <w:rPr>
          <w:rFonts w:hint="default" w:ascii="仿宋_GB2312" w:hAnsi="宋体" w:eastAsia="仿宋_GB2312" w:cs="Times New Roman"/>
          <w:kern w:val="2"/>
          <w:sz w:val="32"/>
          <w:szCs w:val="28"/>
          <w:lang w:val="en-US" w:eastAsia="zh-CN" w:bidi="ar-SA"/>
        </w:rPr>
        <w:t>（3）通过调控饲喂量、营养配比及管理流程，实现“优质”与“高效”协同统一，确保优良繁殖性能的同时最大化投入产出比，为产业化养殖提供可持续方案。</w:t>
      </w:r>
    </w:p>
    <w:p w14:paraId="2A81DD5F">
      <w:pPr>
        <w:keepNext w:val="0"/>
        <w:keepLines w:val="0"/>
        <w:pageBreakBefore w:val="0"/>
        <w:kinsoku/>
        <w:overflowPunct/>
        <w:topLinePunct w:val="0"/>
        <w:bidi w:val="0"/>
        <w:snapToGrid/>
        <w:ind w:firstLine="640" w:firstLineChars="200"/>
        <w:textAlignment w:val="auto"/>
        <w:rPr>
          <w:rFonts w:hint="default" w:ascii="仿宋_GB2312" w:hAnsi="宋体"/>
          <w:sz w:val="32"/>
          <w:szCs w:val="28"/>
          <w:lang w:val="en-US" w:eastAsia="zh-CN"/>
        </w:rPr>
      </w:pPr>
      <w:r>
        <w:rPr>
          <w:rFonts w:hint="eastAsia" w:ascii="仿宋_GB2312" w:hAnsi="宋体"/>
          <w:sz w:val="32"/>
          <w:szCs w:val="28"/>
          <w:lang w:val="en-US" w:eastAsia="zh-CN"/>
        </w:rPr>
        <w:t>2、主体内容</w:t>
      </w:r>
    </w:p>
    <w:p w14:paraId="691B939C">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宋体" w:eastAsia="仿宋_GB2312"/>
          <w:sz w:val="32"/>
          <w:szCs w:val="28"/>
          <w:highlight w:val="none"/>
        </w:rPr>
        <w:t>术语和定义、养殖场建设、引种、养殖管理、繁殖、疫病防控</w:t>
      </w:r>
      <w:r>
        <w:rPr>
          <w:rFonts w:ascii="仿宋_GB2312" w:hAnsi="宋体" w:eastAsia="仿宋_GB2312"/>
          <w:sz w:val="32"/>
          <w:szCs w:val="28"/>
          <w:highlight w:val="none"/>
        </w:rPr>
        <w:t>、档案</w:t>
      </w:r>
      <w:r>
        <w:rPr>
          <w:rFonts w:hint="eastAsia" w:ascii="仿宋_GB2312" w:hAnsi="宋体"/>
          <w:sz w:val="32"/>
          <w:szCs w:val="28"/>
          <w:highlight w:val="none"/>
          <w:lang w:val="en-US" w:eastAsia="zh-CN"/>
        </w:rPr>
        <w:t>记录</w:t>
      </w:r>
      <w:r>
        <w:rPr>
          <w:rFonts w:hint="eastAsia" w:ascii="仿宋_GB2312" w:hAnsi="宋体" w:eastAsia="仿宋_GB2312"/>
          <w:sz w:val="32"/>
          <w:szCs w:val="28"/>
          <w:highlight w:val="none"/>
        </w:rPr>
        <w:t>。</w:t>
      </w:r>
    </w:p>
    <w:p w14:paraId="61FABD75">
      <w:pPr>
        <w:keepNext w:val="0"/>
        <w:keepLines w:val="0"/>
        <w:pageBreakBefore w:val="0"/>
        <w:kinsoku/>
        <w:overflowPunct/>
        <w:topLinePunct w:val="0"/>
        <w:bidi w:val="0"/>
        <w:snapToGrid/>
        <w:spacing w:line="560" w:lineRule="exact"/>
        <w:ind w:firstLine="643" w:firstLineChars="200"/>
        <w:textAlignment w:val="auto"/>
        <w:rPr>
          <w:rFonts w:ascii="楷体" w:hAnsi="楷体" w:eastAsia="楷体" w:cs="仿宋_GB2312"/>
          <w:b/>
          <w:sz w:val="32"/>
          <w:szCs w:val="28"/>
        </w:rPr>
      </w:pPr>
      <w:r>
        <w:rPr>
          <w:rFonts w:hint="eastAsia" w:ascii="楷体" w:hAnsi="楷体" w:eastAsia="楷体" w:cs="仿宋_GB2312"/>
          <w:b/>
          <w:sz w:val="32"/>
          <w:szCs w:val="28"/>
        </w:rPr>
        <w:t>（四）调研及形成草案、征求意见稿</w:t>
      </w:r>
    </w:p>
    <w:p w14:paraId="6B43200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26</w:t>
      </w:r>
      <w:r>
        <w:rPr>
          <w:rFonts w:hint="eastAsia" w:ascii="仿宋_GB2312" w:hAnsi="宋体" w:eastAsia="仿宋_GB2312"/>
          <w:sz w:val="32"/>
          <w:szCs w:val="28"/>
        </w:rPr>
        <w:t>年</w:t>
      </w:r>
      <w:r>
        <w:rPr>
          <w:rFonts w:hint="eastAsia" w:ascii="仿宋_GB2312" w:hAnsi="宋体"/>
          <w:sz w:val="32"/>
          <w:szCs w:val="28"/>
          <w:lang w:val="en-US" w:eastAsia="zh-CN"/>
        </w:rPr>
        <w:t>1</w:t>
      </w:r>
      <w:r>
        <w:rPr>
          <w:rFonts w:hint="eastAsia" w:ascii="仿宋_GB2312" w:hAnsi="宋体" w:eastAsia="仿宋_GB2312"/>
          <w:sz w:val="32"/>
          <w:szCs w:val="28"/>
        </w:rPr>
        <w:t>月，标准起草工作小组进行了广泛调研工作，查阅了大量的国内外文献资料，对七百弄种鸡饲养管理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26</w:t>
      </w:r>
      <w:r>
        <w:rPr>
          <w:rFonts w:hint="eastAsia" w:ascii="仿宋_GB2312" w:hAnsi="宋体" w:eastAsia="仿宋_GB2312"/>
          <w:sz w:val="32"/>
          <w:szCs w:val="28"/>
        </w:rPr>
        <w:t>年</w:t>
      </w:r>
      <w:r>
        <w:rPr>
          <w:rFonts w:hint="eastAsia" w:ascii="仿宋_GB2312" w:hAnsi="宋体"/>
          <w:sz w:val="32"/>
          <w:szCs w:val="28"/>
          <w:lang w:val="en-US" w:eastAsia="zh-CN"/>
        </w:rPr>
        <w:t>2</w:t>
      </w:r>
      <w:r>
        <w:rPr>
          <w:rFonts w:hint="eastAsia" w:ascii="仿宋_GB2312" w:hAnsi="宋体" w:eastAsia="仿宋_GB2312"/>
          <w:sz w:val="32"/>
          <w:szCs w:val="28"/>
        </w:rPr>
        <w:t>月，在前期工作的基础之上，通过理清逻辑脉络，整合已有的参考资料中有关七百弄种鸡饲养管理要求，并结合七百弄种鸡饲养管理实际要求的基础上，按照简化、统一等原则编制完成团体标准《七百弄种鸡饲养管理技术规程》（草案）。</w:t>
      </w:r>
    </w:p>
    <w:p w14:paraId="1F6A96F1">
      <w:pPr>
        <w:keepNext w:val="0"/>
        <w:keepLines w:val="0"/>
        <w:pageBreakBefore w:val="0"/>
        <w:kinsoku/>
        <w:overflowPunct/>
        <w:topLinePunct w:val="0"/>
        <w:bidi w:val="0"/>
        <w:snapToGrid/>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26</w:t>
      </w:r>
      <w:r>
        <w:rPr>
          <w:rFonts w:hint="eastAsia" w:ascii="仿宋_GB2312" w:hAnsi="宋体" w:eastAsia="仿宋_GB2312"/>
          <w:sz w:val="32"/>
          <w:szCs w:val="28"/>
        </w:rPr>
        <w:t>年</w:t>
      </w:r>
      <w:r>
        <w:rPr>
          <w:rFonts w:hint="eastAsia" w:ascii="仿宋_GB2312" w:hAnsi="宋体"/>
          <w:sz w:val="32"/>
          <w:szCs w:val="28"/>
          <w:lang w:val="en-US" w:eastAsia="zh-CN"/>
        </w:rPr>
        <w:t>3</w:t>
      </w:r>
      <w:r>
        <w:rPr>
          <w:rFonts w:hint="eastAsia" w:ascii="仿宋_GB2312" w:hAnsi="宋体" w:eastAsia="仿宋_GB2312"/>
          <w:sz w:val="32"/>
          <w:szCs w:val="28"/>
        </w:rPr>
        <w:t>月，标准起草工作组到</w:t>
      </w:r>
      <w:r>
        <w:rPr>
          <w:rFonts w:ascii="仿宋_GB2312" w:hAnsi="宋体" w:eastAsia="仿宋_GB2312"/>
          <w:sz w:val="32"/>
          <w:szCs w:val="28"/>
        </w:rPr>
        <w:t>相关单位和科研机构进行调研，开展试验验证</w:t>
      </w:r>
      <w:r>
        <w:rPr>
          <w:rFonts w:hint="eastAsia" w:ascii="仿宋_GB2312" w:hAnsi="宋体" w:eastAsia="仿宋_GB2312"/>
          <w:sz w:val="32"/>
          <w:szCs w:val="28"/>
        </w:rPr>
        <w:t>。并实际征求意见，通过收集反馈了大量意见，标准编制工作组多次召开会议，对标准草案进行了反复修改和研究讨论。进一步讨论完善标准草案，形成团体标准《七百弄种鸡饲养管理技术规程》（征求意见稿）和（征求意见稿）编制说明。</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021AFD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tcPr>
          <w:p w14:paraId="40057C4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b/>
                <w:bCs/>
                <w:sz w:val="32"/>
                <w:szCs w:val="28"/>
                <w:vertAlign w:val="baseline"/>
              </w:rPr>
            </w:pPr>
            <w:r>
              <w:drawing>
                <wp:inline distT="0" distB="0" distL="114300" distR="114300">
                  <wp:extent cx="2879725" cy="2153285"/>
                  <wp:effectExtent l="0" t="0" r="15875"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2879725" cy="2153285"/>
                          </a:xfrm>
                          <a:prstGeom prst="rect">
                            <a:avLst/>
                          </a:prstGeom>
                          <a:noFill/>
                          <a:ln>
                            <a:noFill/>
                          </a:ln>
                        </pic:spPr>
                      </pic:pic>
                    </a:graphicData>
                  </a:graphic>
                </wp:inline>
              </w:drawing>
            </w:r>
          </w:p>
        </w:tc>
        <w:tc>
          <w:tcPr>
            <w:tcW w:w="4587" w:type="dxa"/>
          </w:tcPr>
          <w:p w14:paraId="5B54B00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drawing>
                <wp:inline distT="0" distB="0" distL="114300" distR="114300">
                  <wp:extent cx="2879725" cy="2151380"/>
                  <wp:effectExtent l="0" t="0" r="15875" b="127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2879725" cy="2151380"/>
                          </a:xfrm>
                          <a:prstGeom prst="rect">
                            <a:avLst/>
                          </a:prstGeom>
                          <a:noFill/>
                          <a:ln>
                            <a:noFill/>
                          </a:ln>
                        </pic:spPr>
                      </pic:pic>
                    </a:graphicData>
                  </a:graphic>
                </wp:inline>
              </w:drawing>
            </w:r>
          </w:p>
        </w:tc>
      </w:tr>
      <w:tr w14:paraId="52F9C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tcPr>
          <w:p w14:paraId="6F4665F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仿宋_GB2312" w:hAnsi="宋体" w:eastAsia="仿宋_GB2312"/>
                <w:sz w:val="32"/>
                <w:szCs w:val="28"/>
                <w:vertAlign w:val="baseline"/>
                <w:lang w:val="en-US" w:eastAsia="zh-CN"/>
              </w:rPr>
            </w:pPr>
            <w:r>
              <w:rPr>
                <w:rFonts w:hint="eastAsia" w:ascii="仿宋_GB2312" w:hAnsi="宋体"/>
                <w:sz w:val="28"/>
                <w:szCs w:val="24"/>
                <w:vertAlign w:val="baseline"/>
                <w:lang w:val="en-US" w:eastAsia="zh-CN"/>
              </w:rPr>
              <w:t>图1 现场调研</w:t>
            </w:r>
          </w:p>
        </w:tc>
      </w:tr>
    </w:tbl>
    <w:p w14:paraId="7409DF90">
      <w:pPr>
        <w:keepNext w:val="0"/>
        <w:keepLines w:val="0"/>
        <w:pageBreakBefore w:val="0"/>
        <w:kinsoku/>
        <w:overflowPunct/>
        <w:topLinePunct w:val="0"/>
        <w:autoSpaceDE w:val="0"/>
        <w:autoSpaceDN w:val="0"/>
        <w:bidi w:val="0"/>
        <w:adjustRightInd w:val="0"/>
        <w:snapToGrid/>
        <w:jc w:val="left"/>
        <w:textAlignment w:val="auto"/>
        <w:rPr>
          <w:rFonts w:eastAsia="黑体"/>
          <w:bCs/>
          <w:sz w:val="32"/>
          <w:szCs w:val="32"/>
        </w:rPr>
      </w:pPr>
      <w:bookmarkStart w:id="0" w:name="_Toc526940083"/>
    </w:p>
    <w:p w14:paraId="3B832357">
      <w:pPr>
        <w:keepNext w:val="0"/>
        <w:keepLines w:val="0"/>
        <w:pageBreakBefore w:val="0"/>
        <w:kinsoku/>
        <w:overflowPunct/>
        <w:topLinePunct w:val="0"/>
        <w:autoSpaceDE w:val="0"/>
        <w:autoSpaceDN w:val="0"/>
        <w:bidi w:val="0"/>
        <w:adjustRightInd w:val="0"/>
        <w:snapToGrid/>
        <w:jc w:val="left"/>
        <w:textAlignment w:val="auto"/>
        <w:rPr>
          <w:rFonts w:eastAsia="黑体"/>
          <w:bCs/>
          <w:sz w:val="32"/>
          <w:szCs w:val="32"/>
        </w:rPr>
      </w:pPr>
      <w:r>
        <w:rPr>
          <w:rFonts w:eastAsia="黑体"/>
          <w:bCs/>
          <w:sz w:val="32"/>
          <w:szCs w:val="32"/>
        </w:rPr>
        <w:t>四、</w:t>
      </w:r>
      <w:bookmarkEnd w:id="0"/>
      <w:r>
        <w:rPr>
          <w:rFonts w:eastAsia="黑体"/>
          <w:bCs/>
          <w:sz w:val="32"/>
          <w:szCs w:val="32"/>
        </w:rPr>
        <w:t>制定标准的原则和依据，与现行法律、法规的关系，与有关国家标准、行业标准的协调情况</w:t>
      </w:r>
    </w:p>
    <w:p w14:paraId="30EFA250">
      <w:pPr>
        <w:pStyle w:val="12"/>
        <w:keepNext w:val="0"/>
        <w:keepLines w:val="0"/>
        <w:pageBreakBefore w:val="0"/>
        <w:kinsoku/>
        <w:overflowPunct/>
        <w:topLinePunct w:val="0"/>
        <w:bidi w:val="0"/>
        <w:snapToGrid/>
        <w:spacing w:line="560" w:lineRule="exact"/>
        <w:ind w:firstLine="0" w:firstLineChars="0"/>
        <w:textAlignment w:val="auto"/>
        <w:outlineLvl w:val="1"/>
        <w:rPr>
          <w:rFonts w:ascii="Times New Roman" w:eastAsia="仿宋"/>
          <w:b/>
          <w:bCs/>
          <w:sz w:val="32"/>
          <w:szCs w:val="32"/>
        </w:rPr>
      </w:pPr>
      <w:r>
        <w:rPr>
          <w:rFonts w:ascii="Times New Roman" w:eastAsia="仿宋"/>
          <w:b/>
          <w:bCs/>
          <w:sz w:val="32"/>
          <w:szCs w:val="32"/>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eastAsia="仿宋"/>
          <w:b/>
          <w:bCs/>
          <w:kern w:val="0"/>
          <w:sz w:val="32"/>
          <w:szCs w:val="32"/>
        </w:rPr>
        <w:t>1、实用性原则</w:t>
      </w:r>
    </w:p>
    <w:p w14:paraId="096AD80F">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本文件是在充分收集相关资料和文献，分析七百弄种鸡饲养管理当前现状，在现有相关七百弄种鸡饲养管理要求的基础上，结合编制单位</w:t>
      </w:r>
      <w:r>
        <w:rPr>
          <w:rFonts w:ascii="仿宋_GB2312" w:hAnsi="宋体" w:eastAsia="仿宋_GB2312"/>
          <w:sz w:val="32"/>
          <w:szCs w:val="28"/>
        </w:rPr>
        <w:t>多年</w:t>
      </w:r>
      <w:r>
        <w:rPr>
          <w:rFonts w:hint="eastAsia" w:ascii="仿宋_GB2312" w:hAnsi="宋体" w:eastAsia="仿宋_GB2312"/>
          <w:sz w:val="32"/>
          <w:szCs w:val="28"/>
        </w:rPr>
        <w:t>相关经验而总结起草的，符合当前七百弄种鸡饲养管理发展的方向，具有较强的实用性和可操作性。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hint="eastAsia" w:eastAsia="仿宋"/>
          <w:b/>
          <w:bCs/>
          <w:kern w:val="0"/>
          <w:sz w:val="32"/>
          <w:szCs w:val="32"/>
        </w:rPr>
        <w:t>2、协调性原则</w:t>
      </w:r>
    </w:p>
    <w:p w14:paraId="18A33837">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本文件编写过程中注意了与七百弄种鸡饲养管理相关法律法规的协调问题，在内容上与现行法律法规、标准协调一致。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hint="eastAsia" w:eastAsia="仿宋"/>
          <w:b/>
          <w:bCs/>
          <w:kern w:val="0"/>
          <w:sz w:val="32"/>
          <w:szCs w:val="32"/>
        </w:rPr>
        <w:t>3、规范性原则</w:t>
      </w:r>
    </w:p>
    <w:p w14:paraId="3276EBB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firstLine="643"/>
        <w:textAlignment w:val="auto"/>
        <w:outlineLvl w:val="2"/>
        <w:rPr>
          <w:rFonts w:eastAsia="仿宋"/>
          <w:b/>
          <w:bCs/>
          <w:kern w:val="0"/>
          <w:sz w:val="32"/>
          <w:szCs w:val="32"/>
        </w:rPr>
      </w:pPr>
      <w:r>
        <w:rPr>
          <w:rFonts w:hint="eastAsia" w:eastAsia="仿宋"/>
          <w:b/>
          <w:bCs/>
          <w:kern w:val="0"/>
          <w:sz w:val="32"/>
          <w:szCs w:val="32"/>
        </w:rPr>
        <w:t>4、前瞻性原则</w:t>
      </w:r>
    </w:p>
    <w:p w14:paraId="2315C397">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本文件在兼顾当前区内七百弄种鸡饲养管理现实情况的同时，还考虑到了七百弄种鸡饲养管理快速发展的趋势和需要，在标准中体现了个别特色性、前瞻性和先进性条款，作为对七百弄种鸡饲养管理发展的指导。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eastAsia="仿宋"/>
          <w:b/>
          <w:bCs/>
          <w:kern w:val="0"/>
          <w:sz w:val="32"/>
          <w:szCs w:val="32"/>
        </w:rPr>
      </w:pPr>
      <w:r>
        <w:rPr>
          <w:rFonts w:eastAsia="仿宋"/>
          <w:b/>
          <w:bCs/>
          <w:kern w:val="0"/>
          <w:sz w:val="32"/>
          <w:szCs w:val="32"/>
        </w:rPr>
        <w:t>（二）编制依据</w:t>
      </w:r>
    </w:p>
    <w:p w14:paraId="03C8CA65">
      <w:pPr>
        <w:keepNext w:val="0"/>
        <w:keepLines w:val="0"/>
        <w:pageBreakBefore w:val="0"/>
        <w:kinsoku/>
        <w:overflowPunct/>
        <w:topLinePunct w:val="0"/>
        <w:bidi w:val="0"/>
        <w:snapToGrid/>
        <w:ind w:firstLine="640" w:firstLineChars="200"/>
        <w:textAlignment w:val="auto"/>
        <w:rPr>
          <w:rFonts w:eastAsia="仿宋"/>
          <w:sz w:val="32"/>
          <w:szCs w:val="32"/>
        </w:rPr>
      </w:pPr>
      <w:r>
        <w:rPr>
          <w:rFonts w:eastAsia="仿宋"/>
          <w:sz w:val="32"/>
          <w:szCs w:val="32"/>
        </w:rPr>
        <w:t>本标准严格按照GB/T 1.1—2020《标准化工作导则  第1部分：标准化文件的结构和起草规则》的规则起草，标准主要内容参考相关标准文件并结合起草单位多年的</w:t>
      </w:r>
      <w:r>
        <w:rPr>
          <w:rFonts w:hint="eastAsia" w:eastAsia="仿宋"/>
          <w:sz w:val="32"/>
          <w:szCs w:val="32"/>
        </w:rPr>
        <w:t>相关</w:t>
      </w:r>
      <w:r>
        <w:rPr>
          <w:rFonts w:eastAsia="仿宋"/>
          <w:sz w:val="32"/>
          <w:szCs w:val="32"/>
        </w:rPr>
        <w:t>经验</w:t>
      </w:r>
      <w:r>
        <w:rPr>
          <w:rFonts w:hint="eastAsia" w:eastAsia="仿宋"/>
          <w:sz w:val="32"/>
          <w:szCs w:val="32"/>
        </w:rPr>
        <w:t>和实践</w:t>
      </w:r>
      <w:r>
        <w:rPr>
          <w:rFonts w:eastAsia="仿宋"/>
          <w:sz w:val="32"/>
          <w:szCs w:val="32"/>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textAlignment w:val="auto"/>
        <w:outlineLvl w:val="1"/>
        <w:rPr>
          <w:rFonts w:eastAsia="仿宋"/>
          <w:b/>
          <w:bCs/>
          <w:kern w:val="0"/>
          <w:sz w:val="32"/>
          <w:szCs w:val="32"/>
        </w:rPr>
      </w:pPr>
      <w:r>
        <w:rPr>
          <w:rFonts w:eastAsia="仿宋"/>
          <w:b/>
          <w:bCs/>
          <w:kern w:val="0"/>
          <w:sz w:val="32"/>
          <w:szCs w:val="32"/>
        </w:rPr>
        <w:t>（三）与现行法律、法规的关系，与有关国家标准、行业标准的协调情况</w:t>
      </w:r>
    </w:p>
    <w:p w14:paraId="03FE614D">
      <w:pPr>
        <w:keepNext w:val="0"/>
        <w:keepLines w:val="0"/>
        <w:pageBreakBefore w:val="0"/>
        <w:kinsoku/>
        <w:overflowPunct/>
        <w:topLinePunct w:val="0"/>
        <w:bidi w:val="0"/>
        <w:snapToGrid/>
        <w:ind w:firstLine="640" w:firstLineChars="200"/>
        <w:textAlignment w:val="auto"/>
        <w:rPr>
          <w:rFonts w:eastAsia="仿宋"/>
          <w:sz w:val="32"/>
          <w:szCs w:val="32"/>
        </w:rPr>
      </w:pPr>
      <w:r>
        <w:rPr>
          <w:rFonts w:hint="eastAsia" w:eastAsia="仿宋"/>
          <w:sz w:val="32"/>
          <w:szCs w:val="32"/>
        </w:rPr>
        <w:t>本编制工作组承诺本标准内容与各项指标不违反相关法律法规要求，且不低于国家强制性标准、推荐性国家标准和行业标准要求。</w:t>
      </w:r>
    </w:p>
    <w:p w14:paraId="753754A3">
      <w:pPr>
        <w:keepNext w:val="0"/>
        <w:keepLines w:val="0"/>
        <w:pageBreakBefore w:val="0"/>
        <w:kinsoku/>
        <w:overflowPunct/>
        <w:topLinePunct w:val="0"/>
        <w:bidi w:val="0"/>
        <w:snapToGrid/>
        <w:spacing w:line="560" w:lineRule="exact"/>
        <w:ind w:firstLine="640" w:firstLineChars="200"/>
        <w:textAlignment w:val="auto"/>
        <w:rPr>
          <w:rFonts w:hint="eastAsia" w:ascii="仿宋_GB2312" w:hAnsi="宋体" w:eastAsia="仿宋_GB2312"/>
          <w:sz w:val="32"/>
          <w:szCs w:val="28"/>
          <w:lang w:eastAsia="zh-CN"/>
        </w:rPr>
      </w:pPr>
      <w:r>
        <w:rPr>
          <w:rFonts w:hint="eastAsia" w:ascii="仿宋_GB2312" w:hAnsi="宋体" w:eastAsia="仿宋_GB2312"/>
          <w:sz w:val="32"/>
          <w:szCs w:val="28"/>
        </w:rPr>
        <w:t>经查询，与“七百弄鸡”、“种鸡养殖”有关的标准主要有：</w:t>
      </w:r>
      <w:r>
        <w:rPr>
          <w:rFonts w:hint="eastAsia" w:ascii="仿宋_GB2312" w:hAnsi="宋体"/>
          <w:sz w:val="32"/>
          <w:szCs w:val="28"/>
          <w:lang w:eastAsia="zh-CN"/>
        </w:rPr>
        <w:t>《</w:t>
      </w:r>
      <w:r>
        <w:rPr>
          <w:rFonts w:hint="eastAsia" w:ascii="仿宋_GB2312" w:hAnsi="宋体" w:eastAsia="仿宋_GB2312"/>
          <w:sz w:val="32"/>
          <w:szCs w:val="28"/>
        </w:rPr>
        <w:t>T/GXAS 179-2021 地理标志农产品 七百弄鸡育雏技术规程</w:t>
      </w:r>
      <w:r>
        <w:rPr>
          <w:rFonts w:hint="eastAsia" w:ascii="仿宋_GB2312" w:hAnsi="宋体"/>
          <w:sz w:val="32"/>
          <w:szCs w:val="28"/>
          <w:lang w:eastAsia="zh-CN"/>
        </w:rPr>
        <w:t>》《</w:t>
      </w:r>
      <w:r>
        <w:rPr>
          <w:rFonts w:hint="eastAsia" w:ascii="仿宋_GB2312" w:hAnsi="宋体" w:eastAsia="仿宋_GB2312"/>
          <w:sz w:val="32"/>
          <w:szCs w:val="28"/>
        </w:rPr>
        <w:t>T/GXAS 177-2021 地理标志衣产品 七百弄鸡</w:t>
      </w:r>
      <w:r>
        <w:rPr>
          <w:rFonts w:hint="eastAsia" w:ascii="仿宋_GB2312" w:hAnsi="宋体"/>
          <w:sz w:val="32"/>
          <w:szCs w:val="28"/>
          <w:lang w:eastAsia="zh-CN"/>
        </w:rPr>
        <w:t>》《</w:t>
      </w:r>
      <w:r>
        <w:rPr>
          <w:rFonts w:hint="eastAsia" w:ascii="仿宋_GB2312" w:hAnsi="宋体" w:eastAsia="仿宋_GB2312"/>
          <w:sz w:val="32"/>
          <w:szCs w:val="28"/>
        </w:rPr>
        <w:t>T/GXAS 180-2021 地理标志农产品七百弄鸡生态养殖技术规程</w:t>
      </w:r>
      <w:r>
        <w:rPr>
          <w:rFonts w:hint="eastAsia" w:ascii="仿宋_GB2312" w:hAnsi="宋体"/>
          <w:sz w:val="32"/>
          <w:szCs w:val="28"/>
          <w:lang w:eastAsia="zh-CN"/>
        </w:rPr>
        <w:t>》《</w:t>
      </w:r>
      <w:r>
        <w:rPr>
          <w:rFonts w:hint="eastAsia" w:ascii="仿宋_GB2312" w:hAnsi="宋体" w:eastAsia="仿宋_GB2312"/>
          <w:sz w:val="32"/>
          <w:szCs w:val="28"/>
        </w:rPr>
        <w:t>T/GXAS 178-2021 地理标志农产品 七百弄鸡养殖场防疫技术规范</w:t>
      </w:r>
      <w:r>
        <w:rPr>
          <w:rFonts w:hint="eastAsia" w:ascii="仿宋_GB2312" w:hAnsi="宋体"/>
          <w:sz w:val="32"/>
          <w:szCs w:val="28"/>
          <w:lang w:eastAsia="zh-CN"/>
        </w:rPr>
        <w:t>》《</w:t>
      </w:r>
      <w:r>
        <w:rPr>
          <w:rFonts w:hint="eastAsia" w:ascii="仿宋_GB2312" w:hAnsi="宋体" w:eastAsia="仿宋_GB2312"/>
          <w:sz w:val="32"/>
          <w:szCs w:val="28"/>
        </w:rPr>
        <w:t>GB/T 43173-2023 种鸡场鸡白痢沙门菌净化规程</w:t>
      </w:r>
      <w:r>
        <w:rPr>
          <w:rFonts w:hint="eastAsia" w:ascii="仿宋_GB2312" w:hAnsi="宋体"/>
          <w:sz w:val="32"/>
          <w:szCs w:val="28"/>
          <w:lang w:eastAsia="zh-CN"/>
        </w:rPr>
        <w:t>》《</w:t>
      </w:r>
      <w:r>
        <w:rPr>
          <w:rFonts w:hint="eastAsia" w:ascii="仿宋_GB2312" w:hAnsi="宋体" w:eastAsia="仿宋_GB2312"/>
          <w:sz w:val="32"/>
          <w:szCs w:val="28"/>
        </w:rPr>
        <w:t>NY/T 4639-2025 种鸡本交笼饲养技术规范</w:t>
      </w:r>
      <w:r>
        <w:rPr>
          <w:rFonts w:hint="eastAsia" w:ascii="仿宋_GB2312" w:hAnsi="宋体"/>
          <w:sz w:val="32"/>
          <w:szCs w:val="28"/>
          <w:lang w:eastAsia="zh-CN"/>
        </w:rPr>
        <w:t>》《</w:t>
      </w:r>
      <w:r>
        <w:rPr>
          <w:rFonts w:hint="eastAsia" w:ascii="仿宋_GB2312" w:hAnsi="宋体" w:eastAsia="仿宋_GB2312"/>
          <w:sz w:val="32"/>
          <w:szCs w:val="28"/>
        </w:rPr>
        <w:t>NY/T 1620-2016 种鸡场动物卫生规范</w:t>
      </w:r>
      <w:r>
        <w:rPr>
          <w:rFonts w:hint="eastAsia" w:ascii="仿宋_GB2312" w:hAnsi="宋体"/>
          <w:sz w:val="32"/>
          <w:szCs w:val="28"/>
          <w:lang w:eastAsia="zh-CN"/>
        </w:rPr>
        <w:t>》《</w:t>
      </w:r>
      <w:r>
        <w:rPr>
          <w:rFonts w:hint="eastAsia" w:ascii="仿宋_GB2312" w:hAnsi="宋体" w:eastAsia="仿宋_GB2312"/>
          <w:sz w:val="32"/>
          <w:szCs w:val="28"/>
        </w:rPr>
        <w:t>NY/T 4045-2021 种鸡场新城疫免疫无疫控制技术规范</w:t>
      </w:r>
      <w:r>
        <w:rPr>
          <w:rFonts w:hint="eastAsia" w:ascii="仿宋_GB2312" w:hAnsi="宋体"/>
          <w:sz w:val="32"/>
          <w:szCs w:val="28"/>
          <w:lang w:eastAsia="zh-CN"/>
        </w:rPr>
        <w:t>》《</w:t>
      </w:r>
      <w:r>
        <w:rPr>
          <w:rFonts w:hint="eastAsia" w:ascii="仿宋_GB2312" w:hAnsi="宋体" w:eastAsia="仿宋_GB2312"/>
          <w:sz w:val="32"/>
          <w:szCs w:val="28"/>
        </w:rPr>
        <w:t>NY/T 3458-2019 种鸡人工授精技术规程</w:t>
      </w:r>
      <w:r>
        <w:rPr>
          <w:rFonts w:hint="eastAsia" w:ascii="仿宋_GB2312" w:hAnsi="宋体"/>
          <w:sz w:val="32"/>
          <w:szCs w:val="28"/>
          <w:lang w:eastAsia="zh-CN"/>
        </w:rPr>
        <w:t>》《</w:t>
      </w:r>
      <w:r>
        <w:rPr>
          <w:rFonts w:hint="eastAsia" w:ascii="仿宋_GB2312" w:hAnsi="宋体" w:eastAsia="仿宋_GB2312"/>
          <w:sz w:val="32"/>
          <w:szCs w:val="28"/>
        </w:rPr>
        <w:t>GB/T 36873-2018 原种鸡群禽白血病净化检测规程</w:t>
      </w:r>
      <w:r>
        <w:rPr>
          <w:rFonts w:hint="eastAsia" w:ascii="仿宋_GB2312" w:hAnsi="宋体"/>
          <w:sz w:val="32"/>
          <w:szCs w:val="28"/>
          <w:lang w:eastAsia="zh-CN"/>
        </w:rPr>
        <w:t>》《</w:t>
      </w:r>
      <w:r>
        <w:rPr>
          <w:rFonts w:hint="eastAsia" w:ascii="仿宋_GB2312" w:hAnsi="宋体" w:eastAsia="仿宋_GB2312"/>
          <w:sz w:val="32"/>
          <w:szCs w:val="28"/>
        </w:rPr>
        <w:t>DB52/T 1712-2023 种鸡场鸡白痢净化技术规范</w:t>
      </w:r>
      <w:r>
        <w:rPr>
          <w:rFonts w:hint="eastAsia" w:ascii="仿宋_GB2312" w:hAnsi="宋体"/>
          <w:sz w:val="32"/>
          <w:szCs w:val="28"/>
          <w:lang w:eastAsia="zh-CN"/>
        </w:rPr>
        <w:t>》《</w:t>
      </w:r>
      <w:r>
        <w:rPr>
          <w:rFonts w:hint="eastAsia" w:ascii="仿宋_GB2312" w:hAnsi="宋体" w:eastAsia="仿宋_GB2312"/>
          <w:sz w:val="32"/>
          <w:szCs w:val="28"/>
        </w:rPr>
        <w:t>DB45/T 2604-2022 参皇鸡种鸡生态养殖技术规范</w:t>
      </w:r>
      <w:r>
        <w:rPr>
          <w:rFonts w:hint="eastAsia" w:ascii="仿宋_GB2312" w:hAnsi="宋体"/>
          <w:sz w:val="32"/>
          <w:szCs w:val="28"/>
          <w:lang w:eastAsia="zh-CN"/>
        </w:rPr>
        <w:t>》《</w:t>
      </w:r>
      <w:r>
        <w:rPr>
          <w:rFonts w:hint="eastAsia" w:ascii="仿宋_GB2312" w:hAnsi="宋体" w:eastAsia="仿宋_GB2312"/>
          <w:sz w:val="32"/>
          <w:szCs w:val="28"/>
        </w:rPr>
        <w:t>DB32/T 3624-2019 种鸡场鸡白痢净化技术规程</w:t>
      </w:r>
      <w:r>
        <w:rPr>
          <w:rFonts w:hint="eastAsia" w:ascii="仿宋_GB2312" w:hAnsi="宋体"/>
          <w:sz w:val="32"/>
          <w:szCs w:val="28"/>
          <w:lang w:eastAsia="zh-CN"/>
        </w:rPr>
        <w:t>》《</w:t>
      </w:r>
      <w:r>
        <w:rPr>
          <w:rFonts w:hint="eastAsia" w:ascii="仿宋_GB2312" w:hAnsi="宋体" w:eastAsia="仿宋_GB2312"/>
          <w:sz w:val="32"/>
          <w:szCs w:val="28"/>
        </w:rPr>
        <w:t>DB34/T 3297-2018 七彩山鸡种鸡养殖技术规程</w:t>
      </w:r>
      <w:r>
        <w:rPr>
          <w:rFonts w:hint="eastAsia" w:ascii="仿宋_GB2312" w:hAnsi="宋体"/>
          <w:sz w:val="32"/>
          <w:szCs w:val="28"/>
          <w:lang w:eastAsia="zh-CN"/>
        </w:rPr>
        <w:t>》《</w:t>
      </w:r>
      <w:r>
        <w:rPr>
          <w:rFonts w:hint="eastAsia" w:ascii="仿宋_GB2312" w:hAnsi="宋体" w:eastAsia="仿宋_GB2312"/>
          <w:sz w:val="32"/>
          <w:szCs w:val="28"/>
        </w:rPr>
        <w:t>DB34/T 1610-2018 淮北麻鸡种鸡饲养管理规程</w:t>
      </w:r>
      <w:r>
        <w:rPr>
          <w:rFonts w:hint="eastAsia" w:ascii="仿宋_GB2312" w:hAnsi="宋体"/>
          <w:sz w:val="32"/>
          <w:szCs w:val="28"/>
          <w:lang w:eastAsia="zh-CN"/>
        </w:rPr>
        <w:t>》《</w:t>
      </w:r>
      <w:r>
        <w:rPr>
          <w:rFonts w:hint="eastAsia" w:ascii="仿宋_GB2312" w:hAnsi="宋体" w:eastAsia="仿宋_GB2312"/>
          <w:sz w:val="32"/>
          <w:szCs w:val="28"/>
        </w:rPr>
        <w:t>DB11/T 430-2018 种鸡场舍区、场区、缓冲区环境质量要求</w:t>
      </w:r>
      <w:r>
        <w:rPr>
          <w:rFonts w:hint="eastAsia" w:ascii="仿宋_GB2312" w:hAnsi="宋体"/>
          <w:sz w:val="32"/>
          <w:szCs w:val="28"/>
          <w:lang w:eastAsia="zh-CN"/>
        </w:rPr>
        <w:t>》《</w:t>
      </w:r>
      <w:r>
        <w:rPr>
          <w:rFonts w:hint="eastAsia" w:ascii="仿宋_GB2312" w:hAnsi="宋体" w:eastAsia="仿宋_GB2312"/>
          <w:sz w:val="32"/>
          <w:szCs w:val="28"/>
        </w:rPr>
        <w:t>DB36/T 667-2018 泰和乌鸡种鸡生产技术规程</w:t>
      </w:r>
      <w:r>
        <w:rPr>
          <w:rFonts w:hint="eastAsia" w:ascii="仿宋_GB2312" w:hAnsi="宋体"/>
          <w:sz w:val="32"/>
          <w:szCs w:val="28"/>
          <w:lang w:eastAsia="zh-CN"/>
        </w:rPr>
        <w:t>》《</w:t>
      </w:r>
      <w:r>
        <w:rPr>
          <w:rFonts w:hint="eastAsia" w:ascii="仿宋_GB2312" w:hAnsi="宋体" w:eastAsia="仿宋_GB2312"/>
          <w:sz w:val="32"/>
          <w:szCs w:val="28"/>
        </w:rPr>
        <w:t>T/GARIRPA 024-2025 种鸡智慧养殖技术规范</w:t>
      </w:r>
      <w:r>
        <w:rPr>
          <w:rFonts w:hint="eastAsia" w:ascii="仿宋_GB2312" w:hAnsi="宋体"/>
          <w:sz w:val="32"/>
          <w:szCs w:val="28"/>
          <w:lang w:eastAsia="zh-CN"/>
        </w:rPr>
        <w:t>》《</w:t>
      </w:r>
      <w:r>
        <w:rPr>
          <w:rFonts w:hint="eastAsia" w:ascii="仿宋_GB2312" w:hAnsi="宋体" w:eastAsia="仿宋_GB2312"/>
          <w:sz w:val="32"/>
          <w:szCs w:val="28"/>
        </w:rPr>
        <w:t>DB36/T 2162-2025 修水黄羽乌鸡种鸡生产技术规程</w:t>
      </w:r>
      <w:r>
        <w:rPr>
          <w:rFonts w:hint="eastAsia" w:ascii="仿宋_GB2312" w:hAnsi="宋体"/>
          <w:sz w:val="32"/>
          <w:szCs w:val="28"/>
          <w:lang w:eastAsia="zh-CN"/>
        </w:rPr>
        <w:t>》</w:t>
      </w:r>
    </w:p>
    <w:p w14:paraId="7FA8BB82">
      <w:pPr>
        <w:keepNext w:val="0"/>
        <w:keepLines w:val="0"/>
        <w:pageBreakBefore w:val="0"/>
        <w:kinsoku/>
        <w:overflowPunct/>
        <w:topLinePunct w:val="0"/>
        <w:bidi w:val="0"/>
        <w:snapToGrid/>
        <w:ind w:firstLine="640" w:firstLineChars="200"/>
        <w:textAlignment w:val="auto"/>
        <w:rPr>
          <w:rFonts w:hint="eastAsia" w:ascii="仿宋_GB2312" w:hAnsi="宋体" w:eastAsia="仿宋_GB2312" w:cs="Times New Roman"/>
          <w:sz w:val="32"/>
          <w:szCs w:val="28"/>
          <w:lang w:val="en-US" w:eastAsia="zh-CN"/>
        </w:rPr>
      </w:pPr>
      <w:r>
        <w:rPr>
          <w:rFonts w:hint="eastAsia" w:ascii="仿宋_GB2312" w:hAnsi="宋体" w:eastAsia="仿宋_GB2312"/>
          <w:sz w:val="32"/>
          <w:szCs w:val="28"/>
        </w:rPr>
        <w:t>综上，目前标准并不适用于七百弄种鸡饲养管理，本标准针对七百弄鸡不同发育阶段营养需求进行了详细规定，可以有效指导七百弄种鸡是的饲</w:t>
      </w:r>
      <w:r>
        <w:rPr>
          <w:rFonts w:hint="eastAsia" w:ascii="仿宋_GB2312" w:hAnsi="宋体" w:eastAsia="仿宋_GB2312" w:cs="Times New Roman"/>
          <w:sz w:val="32"/>
          <w:szCs w:val="28"/>
        </w:rPr>
        <w:t>养管理工作</w:t>
      </w:r>
      <w:r>
        <w:rPr>
          <w:rFonts w:hint="eastAsia" w:ascii="仿宋_GB2312" w:hAnsi="宋体" w:cs="Times New Roman"/>
          <w:sz w:val="32"/>
          <w:szCs w:val="28"/>
          <w:lang w:eastAsia="zh-CN"/>
        </w:rPr>
        <w:t>。</w:t>
      </w:r>
      <w:r>
        <w:rPr>
          <w:rFonts w:hint="eastAsia" w:ascii="仿宋_GB2312" w:hAnsi="宋体" w:eastAsia="仿宋_GB2312" w:cs="Times New Roman"/>
          <w:sz w:val="32"/>
          <w:szCs w:val="28"/>
          <w:lang w:val="en-US" w:eastAsia="zh-CN"/>
        </w:rPr>
        <w:t>因此制定团体标准《</w:t>
      </w:r>
      <w:r>
        <w:rPr>
          <w:rFonts w:hint="eastAsia" w:ascii="仿宋_GB2312" w:hAnsi="宋体" w:eastAsia="仿宋_GB2312" w:cs="Times New Roman"/>
          <w:sz w:val="32"/>
          <w:szCs w:val="28"/>
        </w:rPr>
        <w:t>七百弄种鸡饲养管理技术规程</w:t>
      </w:r>
      <w:r>
        <w:rPr>
          <w:rFonts w:hint="eastAsia" w:ascii="仿宋_GB2312" w:hAnsi="宋体" w:eastAsia="仿宋_GB2312" w:cs="Times New Roman"/>
          <w:sz w:val="32"/>
          <w:szCs w:val="28"/>
          <w:lang w:eastAsia="zh-CN"/>
        </w:rPr>
        <w:t>》</w:t>
      </w:r>
      <w:r>
        <w:rPr>
          <w:rFonts w:hint="eastAsia" w:ascii="仿宋_GB2312" w:hAnsi="宋体" w:eastAsia="仿宋_GB2312" w:cs="Times New Roman"/>
          <w:sz w:val="32"/>
          <w:szCs w:val="28"/>
          <w:lang w:val="en-US" w:eastAsia="zh-CN"/>
        </w:rPr>
        <w:t>是可行的。</w:t>
      </w:r>
    </w:p>
    <w:p w14:paraId="14FD2F15">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bookmarkStart w:id="1" w:name="_Toc526940084"/>
      <w:r>
        <w:rPr>
          <w:rFonts w:hint="eastAsia" w:ascii="黑体" w:hAnsi="黑体" w:eastAsia="黑体" w:cs="仿宋_GB2312"/>
          <w:sz w:val="32"/>
          <w:szCs w:val="32"/>
        </w:rPr>
        <w:t>五、</w:t>
      </w:r>
      <w:bookmarkEnd w:id="1"/>
      <w:r>
        <w:rPr>
          <w:rFonts w:hint="eastAsia" w:ascii="黑体" w:hAnsi="黑体" w:eastAsia="黑体" w:cs="仿宋_GB2312"/>
          <w:sz w:val="32"/>
          <w:szCs w:val="32"/>
        </w:rPr>
        <w:t>主要条款的说明</w:t>
      </w:r>
    </w:p>
    <w:p w14:paraId="77A106CF">
      <w:pPr>
        <w:keepNext w:val="0"/>
        <w:keepLines w:val="0"/>
        <w:pageBreakBefore w:val="0"/>
        <w:kinsoku/>
        <w:overflowPunct/>
        <w:topLinePunct w:val="0"/>
        <w:bidi w:val="0"/>
        <w:snapToGrid/>
        <w:ind w:firstLine="640" w:firstLineChars="200"/>
        <w:textAlignment w:val="auto"/>
        <w:rPr>
          <w:rFonts w:hint="default" w:ascii="仿宋_GB2312" w:hAnsi="宋体" w:eastAsia="仿宋_GB2312" w:cs="Times New Roman"/>
          <w:color w:val="auto"/>
          <w:kern w:val="2"/>
          <w:sz w:val="32"/>
          <w:szCs w:val="32"/>
          <w:highlight w:val="none"/>
          <w:lang w:val="en-US" w:eastAsia="zh-CN" w:bidi="ar-SA"/>
        </w:rPr>
      </w:pPr>
      <w:r>
        <w:rPr>
          <w:rFonts w:hint="eastAsia" w:ascii="仿宋_GB2312" w:hAnsi="宋体" w:eastAsia="仿宋_GB2312"/>
          <w:sz w:val="32"/>
          <w:szCs w:val="32"/>
          <w:highlight w:val="none"/>
          <w:lang w:val="zh-CN"/>
        </w:rPr>
        <w:t>2019年，广西农业职业技术大学（原广西畜牧研究所）在实施2017年广西创新驱动发展专项资金项目-广西畜禽种质资源的收集、评价与鉴定时，从大化县引进了600多只七百弄鸡，饲养于广西畜牧研究所家禽试验基地，开始了七百弄鸡饲养管理工作。</w:t>
      </w:r>
      <w:r>
        <w:rPr>
          <w:rFonts w:hint="eastAsia" w:ascii="仿宋_GB2312" w:hAnsi="宋体" w:eastAsia="仿宋_GB2312" w:cs="Times New Roman"/>
          <w:color w:val="auto"/>
          <w:kern w:val="2"/>
          <w:sz w:val="32"/>
          <w:szCs w:val="32"/>
          <w:highlight w:val="none"/>
          <w:lang w:val="zh-CN" w:eastAsia="zh-CN" w:bidi="ar-SA"/>
        </w:rPr>
        <w:t>通过《大化七百弄鸡复纯复壮及利用》课题研究，使得大化七百弄鸡达到核心鸡群纯种率达85%以上，产蛋量达155个以上，肉鸡120日龄成活率95.54%，并总结出1套七百弄鸡提纯复壮技术措施。</w:t>
      </w:r>
      <w:r>
        <w:rPr>
          <w:rFonts w:hint="eastAsia" w:ascii="仿宋_GB2312" w:hAnsi="宋体" w:cs="Times New Roman"/>
          <w:color w:val="auto"/>
          <w:kern w:val="2"/>
          <w:sz w:val="32"/>
          <w:szCs w:val="32"/>
          <w:highlight w:val="none"/>
          <w:lang w:val="en-US" w:eastAsia="zh-CN" w:bidi="ar-SA"/>
        </w:rPr>
        <w:t>通过多年的研究和实践，对七百弄种鸡饲养管理总结了丰富经验，有效指导生产实践。</w:t>
      </w:r>
    </w:p>
    <w:p w14:paraId="5003E715">
      <w:pPr>
        <w:keepNext w:val="0"/>
        <w:keepLines w:val="0"/>
        <w:pageBreakBefore w:val="0"/>
        <w:kinsoku/>
        <w:overflowPunct/>
        <w:topLinePunct w:val="0"/>
        <w:bidi w:val="0"/>
        <w:snapToGrid/>
        <w:ind w:firstLine="640" w:firstLineChars="200"/>
        <w:textAlignment w:val="auto"/>
        <w:rPr>
          <w:rFonts w:ascii="仿宋_GB2312" w:hAnsi="宋体" w:eastAsia="仿宋_GB2312"/>
          <w:sz w:val="32"/>
          <w:szCs w:val="32"/>
          <w:lang w:val="zh-CN"/>
        </w:rPr>
      </w:pPr>
      <w:r>
        <w:rPr>
          <w:rFonts w:hint="eastAsia" w:ascii="仿宋_GB2312" w:hAnsi="宋体" w:eastAsia="仿宋_GB2312"/>
          <w:sz w:val="32"/>
          <w:szCs w:val="32"/>
          <w:lang w:val="zh-CN"/>
        </w:rPr>
        <w:t>团体标准《</w:t>
      </w:r>
      <w:r>
        <w:rPr>
          <w:rFonts w:hint="eastAsia" w:ascii="仿宋_GB2312" w:hAnsi="宋体" w:eastAsia="仿宋_GB2312" w:cs="Times New Roman"/>
          <w:sz w:val="32"/>
          <w:szCs w:val="28"/>
        </w:rPr>
        <w:t>七百弄种鸡饲养管理技术规程</w:t>
      </w:r>
      <w:r>
        <w:rPr>
          <w:rFonts w:hint="eastAsia" w:ascii="仿宋_GB2312" w:hAnsi="宋体" w:eastAsia="仿宋_GB2312"/>
          <w:sz w:val="32"/>
          <w:szCs w:val="32"/>
          <w:lang w:val="zh-CN"/>
        </w:rPr>
        <w:t>》的主要章节内容包括：</w:t>
      </w:r>
      <w:r>
        <w:rPr>
          <w:rFonts w:hint="eastAsia" w:ascii="仿宋_GB2312" w:hAnsi="宋体" w:eastAsia="仿宋_GB2312"/>
          <w:sz w:val="32"/>
          <w:szCs w:val="28"/>
          <w:highlight w:val="none"/>
        </w:rPr>
        <w:t>术语和定义、养殖场建设、引种、养殖管理、繁殖、疫病防控</w:t>
      </w:r>
      <w:r>
        <w:rPr>
          <w:rFonts w:ascii="仿宋_GB2312" w:hAnsi="宋体" w:eastAsia="仿宋_GB2312"/>
          <w:sz w:val="32"/>
          <w:szCs w:val="28"/>
          <w:highlight w:val="none"/>
        </w:rPr>
        <w:t>、档案</w:t>
      </w:r>
      <w:r>
        <w:rPr>
          <w:rFonts w:hint="eastAsia" w:ascii="仿宋_GB2312" w:hAnsi="宋体"/>
          <w:sz w:val="32"/>
          <w:szCs w:val="28"/>
          <w:highlight w:val="none"/>
          <w:lang w:val="en-US" w:eastAsia="zh-CN"/>
        </w:rPr>
        <w:t>记录</w:t>
      </w:r>
      <w:r>
        <w:rPr>
          <w:rFonts w:hint="eastAsia" w:ascii="仿宋_GB2312" w:hAnsi="宋体" w:eastAsia="仿宋_GB2312"/>
          <w:sz w:val="32"/>
          <w:szCs w:val="32"/>
          <w:lang w:val="zh-CN"/>
        </w:rPr>
        <w:t>。本文件主要内容及依据来源说明如下：</w:t>
      </w:r>
    </w:p>
    <w:p w14:paraId="40C50225">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ascii="仿宋_GB2312" w:hAnsi="宋体" w:eastAsia="仿宋_GB2312"/>
          <w:b/>
          <w:sz w:val="32"/>
          <w:szCs w:val="32"/>
          <w:lang w:val="zh-CN"/>
        </w:rPr>
      </w:pPr>
      <w:r>
        <w:rPr>
          <w:rFonts w:hint="default" w:ascii="仿宋_GB2312" w:hAnsi="宋体" w:eastAsia="仿宋_GB2312" w:cs="Times New Roman"/>
          <w:b/>
          <w:kern w:val="2"/>
          <w:sz w:val="32"/>
          <w:szCs w:val="32"/>
          <w:lang w:val="zh-CN" w:eastAsia="zh-CN" w:bidi="ar-SA"/>
        </w:rPr>
        <w:t>（一）</w:t>
      </w:r>
      <w:r>
        <w:rPr>
          <w:rFonts w:hint="eastAsia" w:ascii="仿宋_GB2312" w:hAnsi="宋体" w:eastAsia="仿宋_GB2312"/>
          <w:b/>
          <w:sz w:val="32"/>
          <w:szCs w:val="32"/>
          <w:lang w:val="zh-CN"/>
        </w:rPr>
        <w:t>术语与定义</w:t>
      </w:r>
    </w:p>
    <w:p w14:paraId="77FDF28A">
      <w:pPr>
        <w:keepNext w:val="0"/>
        <w:keepLines w:val="0"/>
        <w:pageBreakBefore w:val="0"/>
        <w:kinsoku/>
        <w:overflowPunct/>
        <w:topLinePunct w:val="0"/>
        <w:bidi w:val="0"/>
        <w:snapToGrid/>
        <w:ind w:firstLine="640" w:firstLineChars="200"/>
        <w:textAlignment w:val="auto"/>
        <w:rPr>
          <w:rFonts w:hint="eastAsia" w:ascii="仿宋_GB2312" w:hAnsi="宋体" w:cs="Times New Roman"/>
          <w:sz w:val="32"/>
          <w:szCs w:val="32"/>
          <w:lang w:val="zh-CN"/>
        </w:rPr>
      </w:pPr>
      <w:r>
        <w:rPr>
          <w:rFonts w:hint="eastAsia" w:ascii="仿宋_GB2312" w:hAnsi="宋体" w:cs="Times New Roman"/>
          <w:sz w:val="32"/>
          <w:szCs w:val="32"/>
          <w:lang w:val="en-US" w:eastAsia="zh-CN"/>
        </w:rPr>
        <w:t>七百弄鸡在《T/GXAS 965.7  广西地方鸡品种  第7部分：七百弄鸡》中已经规定了其品种分布及特性，本标准的七百弄种鸡是在满足其规定的基础上，专门用于</w:t>
      </w:r>
      <w:r>
        <w:rPr>
          <w:rFonts w:hint="eastAsia"/>
        </w:rPr>
        <w:t>繁殖后代的七百弄鸡</w:t>
      </w:r>
      <w:r>
        <w:rPr>
          <w:rFonts w:hint="eastAsia"/>
          <w:lang w:eastAsia="zh-CN"/>
        </w:rPr>
        <w:t>。</w:t>
      </w:r>
      <w:r>
        <w:rPr>
          <w:rFonts w:hint="eastAsia"/>
          <w:lang w:val="en-US" w:eastAsia="zh-CN"/>
        </w:rPr>
        <w:t>因此术语中首先要求符合</w:t>
      </w:r>
      <w:r>
        <w:rPr>
          <w:rFonts w:hint="eastAsia" w:ascii="仿宋_GB2312" w:hAnsi="宋体" w:cs="Times New Roman"/>
          <w:sz w:val="32"/>
          <w:szCs w:val="32"/>
          <w:lang w:val="en-US" w:eastAsia="zh-CN"/>
        </w:rPr>
        <w:t>T/GXAS 965.7的规定，</w:t>
      </w:r>
      <w:r>
        <w:rPr>
          <w:rFonts w:hint="eastAsia" w:ascii="仿宋_GB2312" w:hAnsi="宋体" w:eastAsia="仿宋_GB2312" w:cs="Times New Roman"/>
          <w:sz w:val="32"/>
          <w:szCs w:val="32"/>
          <w:lang w:val="zh-CN"/>
        </w:rPr>
        <w:t>确保七百弄鸡的品种纯正，并通过分阶段精细化管理，最大限度地保障种鸡健康和高产，从而实现经济效益最大化</w:t>
      </w:r>
      <w:r>
        <w:rPr>
          <w:rFonts w:hint="eastAsia" w:ascii="仿宋_GB2312" w:hAnsi="宋体" w:cs="Times New Roman"/>
          <w:sz w:val="32"/>
          <w:szCs w:val="32"/>
          <w:lang w:val="zh-CN"/>
        </w:rPr>
        <w:t>。</w:t>
      </w:r>
    </w:p>
    <w:p w14:paraId="55DA736E">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cs="Times New Roman"/>
          <w:sz w:val="32"/>
          <w:szCs w:val="32"/>
          <w:lang w:val="zh-CN"/>
        </w:rPr>
      </w:pPr>
      <w:r>
        <w:drawing>
          <wp:inline distT="0" distB="0" distL="114300" distR="114300">
            <wp:extent cx="3599815" cy="1122680"/>
            <wp:effectExtent l="0" t="0" r="635" b="127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3599815" cy="1122680"/>
                    </a:xfrm>
                    <a:prstGeom prst="rect">
                      <a:avLst/>
                    </a:prstGeom>
                    <a:noFill/>
                    <a:ln>
                      <a:noFill/>
                    </a:ln>
                  </pic:spPr>
                </pic:pic>
              </a:graphicData>
            </a:graphic>
          </wp:inline>
        </w:drawing>
      </w:r>
    </w:p>
    <w:p w14:paraId="3AA2491E">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eastAsia="仿宋_GB2312" w:cs="Times New Roman"/>
          <w:b/>
          <w:kern w:val="2"/>
          <w:sz w:val="32"/>
          <w:szCs w:val="32"/>
          <w:lang w:val="zh-CN" w:eastAsia="zh-CN" w:bidi="ar-SA"/>
        </w:rPr>
      </w:pPr>
      <w:r>
        <w:rPr>
          <w:rFonts w:hint="eastAsia" w:ascii="仿宋_GB2312" w:hAnsi="宋体" w:cs="Times New Roman"/>
          <w:b/>
          <w:kern w:val="2"/>
          <w:sz w:val="32"/>
          <w:szCs w:val="32"/>
          <w:lang w:val="zh-CN" w:eastAsia="zh-CN" w:bidi="ar-SA"/>
        </w:rPr>
        <w:t>（</w:t>
      </w:r>
      <w:r>
        <w:rPr>
          <w:rFonts w:hint="eastAsia" w:ascii="仿宋_GB2312" w:hAnsi="宋体" w:cs="Times New Roman"/>
          <w:b/>
          <w:kern w:val="2"/>
          <w:sz w:val="32"/>
          <w:szCs w:val="32"/>
          <w:lang w:val="en-US" w:eastAsia="zh-CN" w:bidi="ar-SA"/>
        </w:rPr>
        <w:t>二）</w:t>
      </w:r>
      <w:r>
        <w:rPr>
          <w:rFonts w:hint="eastAsia" w:ascii="仿宋_GB2312" w:hAnsi="宋体" w:eastAsia="仿宋_GB2312" w:cs="Times New Roman"/>
          <w:b/>
          <w:kern w:val="2"/>
          <w:sz w:val="32"/>
          <w:szCs w:val="32"/>
          <w:lang w:val="zh-CN" w:eastAsia="zh-CN" w:bidi="ar-SA"/>
        </w:rPr>
        <w:t>养殖场建设</w:t>
      </w:r>
    </w:p>
    <w:p w14:paraId="224BA27D">
      <w:pPr>
        <w:pStyle w:val="31"/>
        <w:keepNext w:val="0"/>
        <w:keepLines w:val="0"/>
        <w:pageBreakBefore w:val="0"/>
        <w:widowControl w:val="0"/>
        <w:numPr>
          <w:ilvl w:val="0"/>
          <w:numId w:val="0"/>
        </w:numPr>
        <w:kinsoku/>
        <w:overflowPunct/>
        <w:topLinePunct w:val="0"/>
        <w:autoSpaceDE w:val="0"/>
        <w:autoSpaceDN w:val="0"/>
        <w:bidi w:val="0"/>
        <w:adjustRightInd w:val="0"/>
        <w:snapToGrid/>
        <w:spacing w:line="560" w:lineRule="exact"/>
        <w:jc w:val="left"/>
        <w:textAlignment w:val="auto"/>
        <w:rPr>
          <w:rFonts w:hint="eastAsia" w:ascii="仿宋_GB2312" w:hAnsi="宋体" w:eastAsia="仿宋_GB2312"/>
          <w:sz w:val="32"/>
          <w:szCs w:val="28"/>
          <w:highlight w:val="none"/>
          <w:lang w:val="zh-CN"/>
        </w:rPr>
      </w:pPr>
      <w:r>
        <w:rPr>
          <w:rFonts w:hint="eastAsia" w:ascii="仿宋_GB2312" w:hAnsi="宋体"/>
          <w:sz w:val="32"/>
          <w:szCs w:val="28"/>
          <w:highlight w:val="none"/>
          <w:lang w:val="en-US" w:eastAsia="zh-CN"/>
        </w:rPr>
        <w:t>2.1</w:t>
      </w:r>
      <w:r>
        <w:rPr>
          <w:rFonts w:hint="eastAsia" w:ascii="仿宋_GB2312" w:hAnsi="宋体" w:eastAsia="仿宋_GB2312"/>
          <w:sz w:val="32"/>
          <w:szCs w:val="28"/>
          <w:highlight w:val="none"/>
          <w:lang w:val="zh-CN"/>
        </w:rPr>
        <w:t>选址</w:t>
      </w:r>
    </w:p>
    <w:p w14:paraId="1CBA62E3">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rPr>
      </w:pPr>
      <w:r>
        <w:rPr>
          <w:rFonts w:hint="eastAsia" w:ascii="仿宋_GB2312" w:hAnsi="宋体" w:eastAsia="仿宋_GB2312" w:cs="Times New Roman"/>
          <w:sz w:val="32"/>
          <w:szCs w:val="28"/>
          <w:highlight w:val="none"/>
          <w:lang w:val="zh-CN"/>
        </w:rPr>
        <w:t>选址遵循NY/T 1620并符合地方养殖规划，通过法律合规性审查从源头规避环保与用地风险</w:t>
      </w:r>
      <w:r>
        <w:rPr>
          <w:rFonts w:hint="eastAsia" w:ascii="仿宋_GB2312" w:hAnsi="宋体" w:cs="Times New Roman"/>
          <w:sz w:val="32"/>
          <w:szCs w:val="28"/>
          <w:highlight w:val="none"/>
          <w:lang w:val="zh-CN"/>
        </w:rPr>
        <w:t>。</w:t>
      </w:r>
      <w:r>
        <w:rPr>
          <w:rFonts w:hint="eastAsia" w:ascii="仿宋_GB2312" w:hAnsi="宋体" w:eastAsia="仿宋_GB2312" w:cs="Times New Roman"/>
          <w:sz w:val="32"/>
          <w:szCs w:val="28"/>
          <w:highlight w:val="none"/>
          <w:lang w:val="zh-CN"/>
        </w:rPr>
        <w:t>同时强制周边环境与空气质量达标，在鸡场大门之外就构筑起第一道生物安全屏障，确保种鸡生存的大环境无污染、无疫病威胁。</w:t>
      </w:r>
    </w:p>
    <w:p w14:paraId="2C70B54F">
      <w:pPr>
        <w:pStyle w:val="31"/>
        <w:keepNext w:val="0"/>
        <w:keepLines w:val="0"/>
        <w:pageBreakBefore w:val="0"/>
        <w:widowControl w:val="0"/>
        <w:numPr>
          <w:ilvl w:val="0"/>
          <w:numId w:val="0"/>
        </w:numPr>
        <w:kinsoku/>
        <w:overflowPunct/>
        <w:topLinePunct w:val="0"/>
        <w:autoSpaceDE w:val="0"/>
        <w:autoSpaceDN w:val="0"/>
        <w:bidi w:val="0"/>
        <w:adjustRightInd w:val="0"/>
        <w:snapToGrid/>
        <w:spacing w:line="560" w:lineRule="exact"/>
        <w:jc w:val="left"/>
        <w:textAlignment w:val="auto"/>
        <w:rPr>
          <w:rFonts w:hint="eastAsia" w:ascii="仿宋_GB2312" w:hAnsi="宋体" w:eastAsia="仿宋_GB2312"/>
          <w:sz w:val="32"/>
          <w:szCs w:val="28"/>
          <w:highlight w:val="none"/>
          <w:lang w:val="zh-CN"/>
        </w:rPr>
      </w:pPr>
      <w:r>
        <w:rPr>
          <w:rFonts w:hint="eastAsia" w:ascii="仿宋_GB2312" w:hAnsi="宋体"/>
          <w:sz w:val="32"/>
          <w:szCs w:val="28"/>
          <w:highlight w:val="none"/>
          <w:lang w:val="en-US" w:eastAsia="zh-CN"/>
        </w:rPr>
        <w:t>2.2</w:t>
      </w:r>
      <w:r>
        <w:rPr>
          <w:rFonts w:hint="eastAsia" w:ascii="仿宋_GB2312" w:hAnsi="宋体" w:eastAsia="仿宋_GB2312"/>
          <w:sz w:val="32"/>
          <w:szCs w:val="28"/>
          <w:highlight w:val="none"/>
          <w:lang w:val="zh-CN"/>
        </w:rPr>
        <w:t>布局</w:t>
      </w:r>
    </w:p>
    <w:p w14:paraId="72A34C6C">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rPr>
      </w:pPr>
      <w:r>
        <w:rPr>
          <w:rFonts w:hint="eastAsia" w:ascii="仿宋_GB2312" w:hAnsi="宋体" w:eastAsia="仿宋_GB2312" w:cs="Times New Roman"/>
          <w:sz w:val="32"/>
          <w:szCs w:val="28"/>
          <w:highlight w:val="none"/>
          <w:lang w:val="zh-CN"/>
        </w:rPr>
        <w:t>布局设计依据NY/T 682和《动物防疫条件审查办法》实行严格的功能分区与全封闭管理，从物理空间上强制隔离人、鸡、粪污、饲料的移动路径，切断病原体在内部交叉传播的链条；同时满足建筑安全等级，保障鸡舍在极端情况下的结构稳定。</w:t>
      </w:r>
    </w:p>
    <w:p w14:paraId="6019D4EF">
      <w:pPr>
        <w:pStyle w:val="31"/>
        <w:keepNext w:val="0"/>
        <w:keepLines w:val="0"/>
        <w:pageBreakBefore w:val="0"/>
        <w:widowControl w:val="0"/>
        <w:numPr>
          <w:ilvl w:val="0"/>
          <w:numId w:val="0"/>
        </w:numPr>
        <w:kinsoku/>
        <w:overflowPunct/>
        <w:topLinePunct w:val="0"/>
        <w:autoSpaceDE w:val="0"/>
        <w:autoSpaceDN w:val="0"/>
        <w:bidi w:val="0"/>
        <w:adjustRightInd w:val="0"/>
        <w:snapToGrid/>
        <w:spacing w:line="560" w:lineRule="exact"/>
        <w:jc w:val="left"/>
        <w:textAlignment w:val="auto"/>
        <w:rPr>
          <w:rFonts w:hint="eastAsia" w:ascii="仿宋_GB2312" w:hAnsi="宋体" w:eastAsia="仿宋_GB2312"/>
          <w:sz w:val="32"/>
          <w:szCs w:val="28"/>
          <w:highlight w:val="none"/>
          <w:lang w:val="en-US" w:eastAsia="zh-CN"/>
        </w:rPr>
      </w:pPr>
      <w:r>
        <w:rPr>
          <w:rFonts w:hint="eastAsia" w:ascii="仿宋_GB2312" w:hAnsi="宋体"/>
          <w:sz w:val="32"/>
          <w:szCs w:val="28"/>
          <w:highlight w:val="none"/>
          <w:lang w:val="en-US" w:eastAsia="zh-CN"/>
        </w:rPr>
        <w:t>2.3</w:t>
      </w:r>
      <w:r>
        <w:rPr>
          <w:rFonts w:hint="eastAsia" w:ascii="仿宋_GB2312" w:hAnsi="宋体" w:eastAsia="仿宋_GB2312"/>
          <w:sz w:val="32"/>
          <w:szCs w:val="28"/>
          <w:highlight w:val="none"/>
          <w:lang w:val="zh-CN"/>
        </w:rPr>
        <w:t>设施</w:t>
      </w:r>
      <w:r>
        <w:rPr>
          <w:rFonts w:hint="eastAsia" w:ascii="仿宋_GB2312" w:hAnsi="宋体"/>
          <w:sz w:val="32"/>
          <w:szCs w:val="28"/>
          <w:highlight w:val="none"/>
          <w:lang w:val="en-US" w:eastAsia="zh-CN"/>
        </w:rPr>
        <w:t>设备</w:t>
      </w:r>
    </w:p>
    <w:p w14:paraId="2E6788AB">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sz w:val="32"/>
          <w:szCs w:val="28"/>
          <w:highlight w:val="none"/>
          <w:lang w:val="zh-CN"/>
        </w:rPr>
      </w:pPr>
      <w:r>
        <w:rPr>
          <w:rFonts w:hint="eastAsia" w:ascii="仿宋_GB2312" w:hAnsi="宋体" w:eastAsia="仿宋_GB2312"/>
          <w:sz w:val="32"/>
          <w:szCs w:val="28"/>
          <w:highlight w:val="none"/>
          <w:lang w:val="zh-CN"/>
        </w:rPr>
        <w:t>设施设备按NY/T 1620</w:t>
      </w:r>
      <w:r>
        <w:rPr>
          <w:rFonts w:hint="eastAsia" w:ascii="仿宋_GB2312" w:hAnsi="宋体"/>
          <w:sz w:val="32"/>
          <w:szCs w:val="28"/>
          <w:highlight w:val="none"/>
          <w:lang w:val="en-US" w:eastAsia="zh-CN"/>
        </w:rPr>
        <w:t>进行</w:t>
      </w:r>
      <w:r>
        <w:rPr>
          <w:rFonts w:hint="eastAsia" w:ascii="仿宋_GB2312" w:hAnsi="宋体" w:eastAsia="仿宋_GB2312"/>
          <w:sz w:val="32"/>
          <w:szCs w:val="28"/>
          <w:highlight w:val="none"/>
          <w:lang w:val="zh-CN"/>
        </w:rPr>
        <w:t>配置，是为了将生物安全和管理策略转化为可执行的硬件能力，通过自动化的环控、饮水、喂料系统，为种鸡创造恒定、舒适的</w:t>
      </w:r>
      <w:r>
        <w:rPr>
          <w:rFonts w:hint="eastAsia" w:ascii="仿宋_GB2312" w:hAnsi="宋体"/>
          <w:sz w:val="32"/>
          <w:szCs w:val="28"/>
          <w:highlight w:val="none"/>
          <w:lang w:val="en-US" w:eastAsia="zh-CN"/>
        </w:rPr>
        <w:t>环境</w:t>
      </w:r>
      <w:r>
        <w:rPr>
          <w:rFonts w:hint="eastAsia" w:ascii="仿宋_GB2312" w:hAnsi="宋体" w:eastAsia="仿宋_GB2312"/>
          <w:sz w:val="32"/>
          <w:szCs w:val="28"/>
          <w:highlight w:val="none"/>
          <w:lang w:val="zh-CN"/>
        </w:rPr>
        <w:t>，确保精准饲养的各项技术指标能够落地实现。</w:t>
      </w:r>
    </w:p>
    <w:p w14:paraId="19B4269A">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cs="Times New Roman"/>
          <w:b/>
          <w:kern w:val="2"/>
          <w:sz w:val="32"/>
          <w:szCs w:val="32"/>
          <w:lang w:val="zh-CN" w:eastAsia="zh-CN" w:bidi="ar-SA"/>
        </w:rPr>
      </w:pPr>
    </w:p>
    <w:p w14:paraId="5B884E2F">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eastAsia="仿宋_GB2312" w:cs="Times New Roman"/>
          <w:b/>
          <w:kern w:val="2"/>
          <w:sz w:val="32"/>
          <w:szCs w:val="32"/>
          <w:lang w:val="zh-CN" w:eastAsia="zh-CN" w:bidi="ar-SA"/>
        </w:rPr>
      </w:pPr>
      <w:r>
        <w:rPr>
          <w:rFonts w:hint="eastAsia" w:ascii="仿宋_GB2312" w:hAnsi="宋体" w:cs="Times New Roman"/>
          <w:b/>
          <w:kern w:val="2"/>
          <w:sz w:val="32"/>
          <w:szCs w:val="32"/>
          <w:lang w:val="zh-CN" w:eastAsia="zh-CN" w:bidi="ar-SA"/>
        </w:rPr>
        <w:t>（</w:t>
      </w:r>
      <w:r>
        <w:rPr>
          <w:rFonts w:hint="eastAsia" w:ascii="仿宋_GB2312" w:hAnsi="宋体" w:cs="Times New Roman"/>
          <w:b/>
          <w:kern w:val="2"/>
          <w:sz w:val="32"/>
          <w:szCs w:val="32"/>
          <w:lang w:val="en-US" w:eastAsia="zh-CN" w:bidi="ar-SA"/>
        </w:rPr>
        <w:t>三）</w:t>
      </w:r>
      <w:r>
        <w:rPr>
          <w:rFonts w:hint="eastAsia" w:ascii="仿宋_GB2312" w:hAnsi="宋体" w:eastAsia="仿宋_GB2312" w:cs="Times New Roman"/>
          <w:b/>
          <w:kern w:val="2"/>
          <w:sz w:val="32"/>
          <w:szCs w:val="32"/>
          <w:lang w:val="zh-CN" w:eastAsia="zh-CN" w:bidi="ar-SA"/>
        </w:rPr>
        <w:t>引种</w:t>
      </w:r>
    </w:p>
    <w:p w14:paraId="417BB43E">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rPr>
      </w:pPr>
      <w:r>
        <w:rPr>
          <w:rFonts w:hint="eastAsia" w:ascii="仿宋_GB2312" w:hAnsi="宋体" w:eastAsia="仿宋_GB2312" w:cs="Times New Roman"/>
          <w:sz w:val="32"/>
          <w:szCs w:val="28"/>
          <w:highlight w:val="none"/>
          <w:lang w:val="zh-CN"/>
        </w:rPr>
        <w:t>要求种鸡</w:t>
      </w:r>
      <w:r>
        <w:rPr>
          <w:rFonts w:hint="eastAsia" w:ascii="仿宋_GB2312" w:hAnsi="宋体" w:cs="Times New Roman"/>
          <w:sz w:val="32"/>
          <w:szCs w:val="28"/>
          <w:highlight w:val="none"/>
          <w:lang w:val="en-US" w:eastAsia="zh-CN"/>
        </w:rPr>
        <w:t>符合</w:t>
      </w:r>
      <w:r>
        <w:rPr>
          <w:rFonts w:hint="eastAsia" w:ascii="仿宋_GB2312" w:hAnsi="宋体" w:eastAsia="仿宋_GB2312" w:cs="Times New Roman"/>
          <w:sz w:val="32"/>
          <w:szCs w:val="28"/>
          <w:highlight w:val="none"/>
          <w:lang w:val="zh-CN"/>
        </w:rPr>
        <w:t>T/GXAS 965.7</w:t>
      </w:r>
      <w:r>
        <w:rPr>
          <w:rFonts w:hint="eastAsia" w:ascii="仿宋_GB2312" w:hAnsi="宋体" w:cs="Times New Roman"/>
          <w:sz w:val="32"/>
          <w:szCs w:val="28"/>
          <w:highlight w:val="none"/>
          <w:lang w:val="en-US" w:eastAsia="zh-CN"/>
        </w:rPr>
        <w:t>的规定</w:t>
      </w:r>
      <w:r>
        <w:rPr>
          <w:rFonts w:hint="eastAsia" w:ascii="仿宋_GB2312" w:hAnsi="宋体" w:eastAsia="仿宋_GB2312" w:cs="Times New Roman"/>
          <w:sz w:val="32"/>
          <w:szCs w:val="28"/>
          <w:highlight w:val="none"/>
          <w:lang w:val="zh-CN"/>
        </w:rPr>
        <w:t>，确保基因纯正、不混杂退化</w:t>
      </w:r>
      <w:r>
        <w:rPr>
          <w:rFonts w:hint="eastAsia" w:ascii="仿宋_GB2312" w:hAnsi="宋体" w:cs="Times New Roman"/>
          <w:sz w:val="32"/>
          <w:szCs w:val="28"/>
          <w:highlight w:val="none"/>
          <w:lang w:val="zh-CN"/>
        </w:rPr>
        <w:t>。</w:t>
      </w:r>
      <w:r>
        <w:rPr>
          <w:rFonts w:hint="eastAsia" w:ascii="仿宋_GB2312" w:hAnsi="宋体" w:cs="Times New Roman"/>
          <w:sz w:val="32"/>
          <w:szCs w:val="28"/>
          <w:highlight w:val="none"/>
          <w:lang w:val="en-US" w:eastAsia="zh-CN"/>
        </w:rPr>
        <w:t>其中虽然七百种鸡中偶尔会有一些黑羽和白羽，数量极少，羽色是最直观的品种鉴别指标，排除黑羽、白羽，尽可能避免基因污染，保障种群纯度。</w:t>
      </w:r>
      <w:r>
        <w:rPr>
          <w:rFonts w:hint="eastAsia" w:ascii="仿宋_GB2312" w:hAnsi="宋体" w:eastAsia="仿宋_GB2312" w:cs="Times New Roman"/>
          <w:sz w:val="32"/>
          <w:szCs w:val="28"/>
          <w:highlight w:val="none"/>
          <w:lang w:val="zh-CN"/>
        </w:rPr>
        <w:t>要求供种场有官方资质，确保鸡苗来源可追溯、无特定病原。同时守住品种纯度和健康的底</w:t>
      </w:r>
      <w:r>
        <w:rPr>
          <w:rFonts w:hint="eastAsia" w:ascii="仿宋_GB2312" w:hAnsi="宋体" w:cs="Times New Roman"/>
          <w:sz w:val="32"/>
          <w:szCs w:val="28"/>
          <w:highlight w:val="none"/>
          <w:lang w:val="zh-CN" w:eastAsia="zh-CN"/>
        </w:rPr>
        <w:t>线，</w:t>
      </w:r>
      <w:r>
        <w:rPr>
          <w:rFonts w:hint="eastAsia" w:ascii="仿宋_GB2312" w:hAnsi="宋体" w:cs="Times New Roman"/>
          <w:sz w:val="32"/>
          <w:szCs w:val="28"/>
          <w:highlight w:val="none"/>
          <w:lang w:val="en-US" w:eastAsia="zh-CN"/>
        </w:rPr>
        <w:t>从源头上确保种群的</w:t>
      </w:r>
      <w:r>
        <w:rPr>
          <w:rFonts w:hint="default" w:ascii="仿宋_GB2312" w:hAnsi="宋体" w:cs="Times New Roman"/>
          <w:sz w:val="32"/>
          <w:szCs w:val="28"/>
          <w:highlight w:val="none"/>
          <w:lang w:val="en-US" w:eastAsia="zh-CN"/>
        </w:rPr>
        <w:t>遗传纯正和生物安全</w:t>
      </w:r>
      <w:r>
        <w:rPr>
          <w:rFonts w:hint="eastAsia" w:ascii="仿宋_GB2312" w:hAnsi="宋体" w:cs="Times New Roman"/>
          <w:sz w:val="32"/>
          <w:szCs w:val="28"/>
          <w:highlight w:val="none"/>
          <w:lang w:val="en-US" w:eastAsia="zh-CN"/>
        </w:rPr>
        <w:t>，</w:t>
      </w:r>
      <w:r>
        <w:rPr>
          <w:rFonts w:hint="eastAsia" w:ascii="仿宋_GB2312" w:hAnsi="宋体" w:cs="Times New Roman"/>
          <w:sz w:val="32"/>
          <w:szCs w:val="28"/>
          <w:highlight w:val="none"/>
          <w:lang w:val="zh-CN" w:eastAsia="zh-CN"/>
        </w:rPr>
        <w:t>为后续的精细化饲养管理</w:t>
      </w:r>
      <w:r>
        <w:rPr>
          <w:rFonts w:hint="eastAsia" w:ascii="仿宋_GB2312" w:hAnsi="宋体" w:cs="Times New Roman"/>
          <w:sz w:val="32"/>
          <w:szCs w:val="28"/>
          <w:highlight w:val="none"/>
          <w:lang w:val="en-US" w:eastAsia="zh-CN"/>
        </w:rPr>
        <w:t>提供</w:t>
      </w:r>
      <w:r>
        <w:rPr>
          <w:rFonts w:hint="eastAsia" w:ascii="仿宋_GB2312" w:hAnsi="宋体" w:cs="Times New Roman"/>
          <w:sz w:val="32"/>
          <w:szCs w:val="28"/>
          <w:highlight w:val="none"/>
          <w:lang w:val="zh-CN" w:eastAsia="zh-CN"/>
        </w:rPr>
        <w:t>一个合</w:t>
      </w:r>
      <w:r>
        <w:rPr>
          <w:rFonts w:hint="eastAsia" w:ascii="仿宋_GB2312" w:hAnsi="宋体" w:eastAsia="仿宋_GB2312" w:cs="Times New Roman"/>
          <w:sz w:val="32"/>
          <w:szCs w:val="28"/>
          <w:highlight w:val="none"/>
          <w:lang w:val="zh-CN"/>
        </w:rPr>
        <w:t>法、优质、安全的起点。</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22F48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tcPr>
          <w:p w14:paraId="45BA2D2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b/>
                <w:bCs/>
                <w:sz w:val="32"/>
                <w:szCs w:val="28"/>
                <w:vertAlign w:val="baseline"/>
                <w:lang w:eastAsia="zh-CN"/>
              </w:rPr>
            </w:pPr>
            <w:r>
              <w:rPr>
                <w:rFonts w:hint="eastAsia" w:ascii="仿宋_GB2312" w:hAnsi="宋体" w:eastAsia="仿宋_GB2312"/>
                <w:b/>
                <w:bCs/>
                <w:sz w:val="32"/>
                <w:szCs w:val="28"/>
                <w:vertAlign w:val="baseline"/>
                <w:lang w:eastAsia="zh-CN"/>
              </w:rPr>
              <w:drawing>
                <wp:inline distT="0" distB="0" distL="114300" distR="114300">
                  <wp:extent cx="2160270" cy="1619885"/>
                  <wp:effectExtent l="0" t="0" r="11430" b="18415"/>
                  <wp:docPr id="10" name="图片 10" descr="4068502f3e41d935e4dca5f114843b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068502f3e41d935e4dca5f114843bef"/>
                          <pic:cNvPicPr>
                            <a:picLocks noChangeAspect="1"/>
                          </pic:cNvPicPr>
                        </pic:nvPicPr>
                        <pic:blipFill>
                          <a:blip r:embed="rId10"/>
                          <a:stretch>
                            <a:fillRect/>
                          </a:stretch>
                        </pic:blipFill>
                        <pic:spPr>
                          <a:xfrm>
                            <a:off x="0" y="0"/>
                            <a:ext cx="2160270" cy="1619885"/>
                          </a:xfrm>
                          <a:prstGeom prst="rect">
                            <a:avLst/>
                          </a:prstGeom>
                        </pic:spPr>
                      </pic:pic>
                    </a:graphicData>
                  </a:graphic>
                </wp:inline>
              </w:drawing>
            </w:r>
          </w:p>
        </w:tc>
        <w:tc>
          <w:tcPr>
            <w:tcW w:w="4587" w:type="dxa"/>
          </w:tcPr>
          <w:p w14:paraId="4EAA61E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rPr>
                <w:rFonts w:hint="eastAsia" w:ascii="仿宋_GB2312" w:hAnsi="宋体" w:eastAsia="仿宋_GB2312"/>
                <w:sz w:val="32"/>
                <w:szCs w:val="28"/>
                <w:vertAlign w:val="baseline"/>
                <w:lang w:eastAsia="zh-CN"/>
              </w:rPr>
              <w:drawing>
                <wp:inline distT="0" distB="0" distL="114300" distR="114300">
                  <wp:extent cx="2160270" cy="1619885"/>
                  <wp:effectExtent l="0" t="0" r="11430" b="18415"/>
                  <wp:docPr id="13" name="图片 13" descr="c8671a2295e0e5a128375160176233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8671a2295e0e5a128375160176233c1"/>
                          <pic:cNvPicPr>
                            <a:picLocks noChangeAspect="1"/>
                          </pic:cNvPicPr>
                        </pic:nvPicPr>
                        <pic:blipFill>
                          <a:blip r:embed="rId11"/>
                          <a:stretch>
                            <a:fillRect/>
                          </a:stretch>
                        </pic:blipFill>
                        <pic:spPr>
                          <a:xfrm>
                            <a:off x="0" y="0"/>
                            <a:ext cx="2160270" cy="1619885"/>
                          </a:xfrm>
                          <a:prstGeom prst="rect">
                            <a:avLst/>
                          </a:prstGeom>
                        </pic:spPr>
                      </pic:pic>
                    </a:graphicData>
                  </a:graphic>
                </wp:inline>
              </w:drawing>
            </w:r>
          </w:p>
        </w:tc>
      </w:tr>
      <w:tr w14:paraId="4790B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tcPr>
          <w:p w14:paraId="70BA911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b/>
                <w:bCs/>
                <w:sz w:val="32"/>
                <w:szCs w:val="28"/>
                <w:vertAlign w:val="baseline"/>
                <w:lang w:eastAsia="zh-CN"/>
              </w:rPr>
            </w:pPr>
            <w:r>
              <w:rPr>
                <w:rFonts w:hint="eastAsia" w:ascii="仿宋_GB2312" w:hAnsi="宋体" w:eastAsia="仿宋_GB2312"/>
                <w:b/>
                <w:bCs/>
                <w:sz w:val="32"/>
                <w:szCs w:val="28"/>
                <w:vertAlign w:val="baseline"/>
                <w:lang w:eastAsia="zh-CN"/>
              </w:rPr>
              <w:drawing>
                <wp:inline distT="0" distB="0" distL="114300" distR="114300">
                  <wp:extent cx="2160270" cy="1619885"/>
                  <wp:effectExtent l="0" t="0" r="11430" b="18415"/>
                  <wp:docPr id="12" name="图片 12" descr="191db911e2bed5c5b948720461bb11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91db911e2bed5c5b948720461bb11b1"/>
                          <pic:cNvPicPr>
                            <a:picLocks noChangeAspect="1"/>
                          </pic:cNvPicPr>
                        </pic:nvPicPr>
                        <pic:blipFill>
                          <a:blip r:embed="rId12"/>
                          <a:stretch>
                            <a:fillRect/>
                          </a:stretch>
                        </pic:blipFill>
                        <pic:spPr>
                          <a:xfrm>
                            <a:off x="0" y="0"/>
                            <a:ext cx="2160270" cy="1619885"/>
                          </a:xfrm>
                          <a:prstGeom prst="rect">
                            <a:avLst/>
                          </a:prstGeom>
                        </pic:spPr>
                      </pic:pic>
                    </a:graphicData>
                  </a:graphic>
                </wp:inline>
              </w:drawing>
            </w:r>
          </w:p>
        </w:tc>
        <w:tc>
          <w:tcPr>
            <w:tcW w:w="4587" w:type="dxa"/>
          </w:tcPr>
          <w:p w14:paraId="21EEB2A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rPr>
                <w:rFonts w:hint="eastAsia" w:ascii="仿宋_GB2312" w:hAnsi="宋体" w:eastAsia="仿宋_GB2312"/>
                <w:sz w:val="32"/>
                <w:szCs w:val="28"/>
                <w:vertAlign w:val="baseline"/>
                <w:lang w:eastAsia="zh-CN"/>
              </w:rPr>
              <w:drawing>
                <wp:inline distT="0" distB="0" distL="114300" distR="114300">
                  <wp:extent cx="2160270" cy="1619885"/>
                  <wp:effectExtent l="0" t="0" r="11430" b="18415"/>
                  <wp:docPr id="11" name="图片 11" descr="7a5f4c2ab7570f61088f002f522c40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7a5f4c2ab7570f61088f002f522c40ee"/>
                          <pic:cNvPicPr>
                            <a:picLocks noChangeAspect="1"/>
                          </pic:cNvPicPr>
                        </pic:nvPicPr>
                        <pic:blipFill>
                          <a:blip r:embed="rId13"/>
                          <a:stretch>
                            <a:fillRect/>
                          </a:stretch>
                        </pic:blipFill>
                        <pic:spPr>
                          <a:xfrm>
                            <a:off x="0" y="0"/>
                            <a:ext cx="2160270" cy="1619885"/>
                          </a:xfrm>
                          <a:prstGeom prst="rect">
                            <a:avLst/>
                          </a:prstGeom>
                        </pic:spPr>
                      </pic:pic>
                    </a:graphicData>
                  </a:graphic>
                </wp:inline>
              </w:drawing>
            </w:r>
          </w:p>
        </w:tc>
      </w:tr>
      <w:tr w14:paraId="04A882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tcPr>
          <w:p w14:paraId="5E5D4B3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b/>
                <w:bCs/>
                <w:sz w:val="32"/>
                <w:szCs w:val="28"/>
                <w:vertAlign w:val="baseline"/>
                <w:lang w:eastAsia="zh-CN"/>
              </w:rPr>
            </w:pPr>
            <w:r>
              <w:drawing>
                <wp:inline distT="0" distB="0" distL="114300" distR="114300">
                  <wp:extent cx="2160270" cy="1566545"/>
                  <wp:effectExtent l="0" t="0" r="11430" b="1460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14"/>
                          <a:stretch>
                            <a:fillRect/>
                          </a:stretch>
                        </pic:blipFill>
                        <pic:spPr>
                          <a:xfrm>
                            <a:off x="0" y="0"/>
                            <a:ext cx="2160270" cy="1566545"/>
                          </a:xfrm>
                          <a:prstGeom prst="rect">
                            <a:avLst/>
                          </a:prstGeom>
                          <a:noFill/>
                          <a:ln>
                            <a:noFill/>
                          </a:ln>
                        </pic:spPr>
                      </pic:pic>
                    </a:graphicData>
                  </a:graphic>
                </wp:inline>
              </w:drawing>
            </w:r>
          </w:p>
        </w:tc>
        <w:tc>
          <w:tcPr>
            <w:tcW w:w="4587" w:type="dxa"/>
          </w:tcPr>
          <w:p w14:paraId="1BBDFEC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rPr>
                <w:rFonts w:hint="eastAsia" w:ascii="仿宋_GB2312" w:hAnsi="宋体" w:eastAsia="仿宋_GB2312"/>
                <w:sz w:val="32"/>
                <w:szCs w:val="28"/>
                <w:vertAlign w:val="baseline"/>
                <w:lang w:eastAsia="zh-CN"/>
              </w:rPr>
              <w:drawing>
                <wp:inline distT="0" distB="0" distL="114300" distR="114300">
                  <wp:extent cx="2160270" cy="1619885"/>
                  <wp:effectExtent l="0" t="0" r="11430" b="18415"/>
                  <wp:docPr id="35" name="图片 35" descr="39ffc089d0067ef791d4a84ad1350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9ffc089d0067ef791d4a84ad1350640"/>
                          <pic:cNvPicPr>
                            <a:picLocks noChangeAspect="1"/>
                          </pic:cNvPicPr>
                        </pic:nvPicPr>
                        <pic:blipFill>
                          <a:blip r:embed="rId15"/>
                          <a:stretch>
                            <a:fillRect/>
                          </a:stretch>
                        </pic:blipFill>
                        <pic:spPr>
                          <a:xfrm>
                            <a:off x="0" y="0"/>
                            <a:ext cx="2160270" cy="1619885"/>
                          </a:xfrm>
                          <a:prstGeom prst="rect">
                            <a:avLst/>
                          </a:prstGeom>
                        </pic:spPr>
                      </pic:pic>
                    </a:graphicData>
                  </a:graphic>
                </wp:inline>
              </w:drawing>
            </w:r>
          </w:p>
        </w:tc>
      </w:tr>
      <w:tr w14:paraId="2224F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tcPr>
          <w:p w14:paraId="1BD8BCD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仿宋_GB2312" w:hAnsi="宋体"/>
                <w:sz w:val="28"/>
                <w:szCs w:val="24"/>
                <w:vertAlign w:val="baseline"/>
                <w:lang w:val="en-US" w:eastAsia="zh-CN"/>
              </w:rPr>
            </w:pPr>
            <w:r>
              <w:rPr>
                <w:rFonts w:hint="eastAsia" w:ascii="仿宋_GB2312" w:hAnsi="宋体"/>
                <w:sz w:val="28"/>
                <w:szCs w:val="24"/>
                <w:vertAlign w:val="baseline"/>
                <w:lang w:val="en-US" w:eastAsia="zh-CN"/>
              </w:rPr>
              <w:t>图2 七百弄鸡</w:t>
            </w:r>
          </w:p>
        </w:tc>
      </w:tr>
    </w:tbl>
    <w:p w14:paraId="1DC574F8">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eastAsia="仿宋_GB2312" w:cs="Times New Roman"/>
          <w:b/>
          <w:kern w:val="2"/>
          <w:sz w:val="32"/>
          <w:szCs w:val="32"/>
          <w:lang w:val="zh-CN" w:eastAsia="zh-CN" w:bidi="ar-SA"/>
        </w:rPr>
      </w:pPr>
      <w:r>
        <w:rPr>
          <w:rFonts w:hint="eastAsia" w:ascii="仿宋_GB2312" w:hAnsi="宋体" w:cs="Times New Roman"/>
          <w:b/>
          <w:kern w:val="2"/>
          <w:sz w:val="32"/>
          <w:szCs w:val="32"/>
          <w:lang w:val="zh-CN" w:eastAsia="zh-CN" w:bidi="ar-SA"/>
        </w:rPr>
        <w:t>（</w:t>
      </w:r>
      <w:r>
        <w:rPr>
          <w:rFonts w:hint="eastAsia" w:ascii="仿宋_GB2312" w:hAnsi="宋体" w:cs="Times New Roman"/>
          <w:b/>
          <w:kern w:val="2"/>
          <w:sz w:val="32"/>
          <w:szCs w:val="32"/>
          <w:lang w:val="en-US" w:eastAsia="zh-CN" w:bidi="ar-SA"/>
        </w:rPr>
        <w:t>四）</w:t>
      </w:r>
      <w:r>
        <w:rPr>
          <w:rFonts w:hint="eastAsia" w:ascii="仿宋_GB2312" w:hAnsi="宋体" w:eastAsia="仿宋_GB2312" w:cs="Times New Roman"/>
          <w:b/>
          <w:kern w:val="2"/>
          <w:sz w:val="32"/>
          <w:szCs w:val="32"/>
          <w:lang w:val="zh-CN" w:eastAsia="zh-CN" w:bidi="ar-SA"/>
        </w:rPr>
        <w:t>养殖管理</w:t>
      </w:r>
    </w:p>
    <w:p w14:paraId="474E3C49">
      <w:pPr>
        <w:keepNext w:val="0"/>
        <w:keepLines w:val="0"/>
        <w:widowControl/>
        <w:suppressLineNumbers w:val="0"/>
        <w:ind w:firstLine="640" w:firstLineChars="200"/>
        <w:jc w:val="both"/>
        <w:rPr>
          <w:rFonts w:hint="eastAsia"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4.1饲料</w:t>
      </w:r>
    </w:p>
    <w:p w14:paraId="5C9F0F4E">
      <w:pPr>
        <w:keepNext w:val="0"/>
        <w:keepLines w:val="0"/>
        <w:widowControl/>
        <w:suppressLineNumbers w:val="0"/>
        <w:ind w:firstLine="640" w:firstLineChars="200"/>
        <w:jc w:val="both"/>
        <w:rPr>
          <w:rFonts w:hint="eastAsia"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霉变饲料会产生黄曲霉毒素等，导致种鸡中毒、肝脏坏死，甚至死亡，因此要求饲料在保质期内、无霉变。如果饲料受潮，极易滋生细菌、霉菌，所以要堆放在干燥、阴凉、通风处。卫生指标符合《GB 13078  饲料卫生标准》，是控制饲料中的重金属、农药残留等有害物质超标的关键举措。</w:t>
      </w:r>
    </w:p>
    <w:p w14:paraId="4CC70AB5">
      <w:pPr>
        <w:keepNext w:val="0"/>
        <w:keepLines w:val="0"/>
        <w:widowControl/>
        <w:suppressLineNumbers w:val="0"/>
        <w:ind w:firstLine="640" w:firstLineChars="200"/>
        <w:jc w:val="both"/>
        <w:rPr>
          <w:rFonts w:hint="eastAsia"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4.2饮用水</w:t>
      </w:r>
    </w:p>
    <w:p w14:paraId="2BDDACDC">
      <w:pPr>
        <w:keepNext w:val="0"/>
        <w:keepLines w:val="0"/>
        <w:widowControl/>
        <w:suppressLineNumbers w:val="0"/>
        <w:ind w:firstLine="640" w:firstLineChars="200"/>
        <w:jc w:val="both"/>
        <w:rPr>
          <w:rFonts w:hint="eastAsia"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种鸡水摄入量大，如果水质差，种鸡容易拉稀、患肠道病，从而影响营养吸收，导致产蛋率下降。水质符合NY 5027，确保水中大肠杆菌等细菌总数、重金属等指标不超标。</w:t>
      </w:r>
    </w:p>
    <w:p w14:paraId="37F6A5A4">
      <w:pPr>
        <w:keepNext w:val="0"/>
        <w:keepLines w:val="0"/>
        <w:widowControl/>
        <w:suppressLineNumbers w:val="0"/>
        <w:jc w:val="both"/>
        <w:rPr>
          <w:rFonts w:hint="eastAsia"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4.3通风</w:t>
      </w:r>
    </w:p>
    <w:p w14:paraId="60647381">
      <w:pPr>
        <w:keepNext w:val="0"/>
        <w:keepLines w:val="0"/>
        <w:widowControl/>
        <w:suppressLineNumbers w:val="0"/>
        <w:jc w:val="both"/>
        <w:rPr>
          <w:rFonts w:hint="eastAsia"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封闭式鸡舍内会产生大量的氨气、二氧化碳和粉尘，如果通风不良，这些有害气体会严重刺激种鸡的呼吸道黏膜，导致呼吸道病频发，甚至造成角膜溃疡。鸡舍保持通风且空气质量符合NY/T 388的规定，是为种鸡提供一个富氧、低毒、舒适的环境。</w:t>
      </w:r>
    </w:p>
    <w:p w14:paraId="26798A1B">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4.4营养需求</w:t>
      </w:r>
    </w:p>
    <w:p w14:paraId="49937A8B">
      <w:pPr>
        <w:keepNext w:val="0"/>
        <w:keepLines w:val="0"/>
        <w:widowControl/>
        <w:suppressLineNumbers w:val="0"/>
        <w:jc w:val="both"/>
        <w:rPr>
          <w:rFonts w:hint="eastAsia" w:ascii="仿宋_GB2312" w:hAnsi="宋体" w:eastAsia="仿宋_GB2312"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传统养殖中缺乏针对七百弄鸡种鸡的专属营养标准，多沿用通用黄羽种鸡饲料配方，存在蛋白质等关键营养素添加量失衡问题，易导致种鸡生长发育不良、产蛋性能波动大、饲料浪费严重等问题。起草单位</w:t>
      </w:r>
      <w:r>
        <w:rPr>
          <w:rFonts w:hint="eastAsia" w:ascii="仿宋_GB2312" w:hAnsi="宋体" w:eastAsia="仿宋_GB2312" w:cs="Times New Roman"/>
          <w:kern w:val="2"/>
          <w:sz w:val="32"/>
          <w:szCs w:val="28"/>
          <w:highlight w:val="none"/>
          <w:lang w:val="en-US" w:eastAsia="zh-CN" w:bidi="ar-SA"/>
        </w:rPr>
        <w:t>系统开展</w:t>
      </w:r>
      <w:r>
        <w:rPr>
          <w:rFonts w:hint="eastAsia" w:ascii="仿宋_GB2312" w:hAnsi="宋体" w:cs="Times New Roman"/>
          <w:kern w:val="2"/>
          <w:sz w:val="32"/>
          <w:szCs w:val="28"/>
          <w:highlight w:val="none"/>
          <w:lang w:val="en-US" w:eastAsia="zh-CN" w:bidi="ar-SA"/>
        </w:rPr>
        <w:t>七百弄鸡种鸡</w:t>
      </w:r>
      <w:r>
        <w:rPr>
          <w:rFonts w:hint="eastAsia" w:ascii="仿宋_GB2312" w:hAnsi="宋体" w:eastAsia="仿宋_GB2312" w:cs="Times New Roman"/>
          <w:kern w:val="2"/>
          <w:sz w:val="32"/>
          <w:szCs w:val="28"/>
          <w:highlight w:val="none"/>
          <w:lang w:val="en-US" w:eastAsia="zh-CN" w:bidi="ar-SA"/>
        </w:rPr>
        <w:t>不同发育阶段（育雏期、育成期、产蛋期等）饲料蛋白质添加量研究，不仅明确蛋白质最佳添加量，还同步确定能量、矿物质、维生素等关键营养素的精准需求量，形成分阶段专属饲料配方方案。可精准指导不同阶段饲喂量与饲喂频率，实现“按需供给”，在提升种鸡成活率、产蛋率、种蛋合格率等核心指标的同时，显著提升综合饲养效益</w:t>
      </w:r>
      <w:r>
        <w:rPr>
          <w:rFonts w:hint="eastAsia" w:ascii="仿宋_GB2312" w:hAnsi="宋体" w:cs="Times New Roman"/>
          <w:kern w:val="2"/>
          <w:sz w:val="32"/>
          <w:szCs w:val="28"/>
          <w:highlight w:val="none"/>
          <w:lang w:val="en-US" w:eastAsia="zh-CN" w:bidi="ar-SA"/>
        </w:rPr>
        <w:t>。</w:t>
      </w:r>
    </w:p>
    <w:p w14:paraId="5A1DB261">
      <w:pPr>
        <w:keepNext w:val="0"/>
        <w:keepLines w:val="0"/>
        <w:widowControl/>
        <w:suppressLineNumbers w:val="0"/>
        <w:jc w:val="both"/>
        <w:rPr>
          <w:rFonts w:hint="eastAsia" w:ascii="仿宋_GB2312" w:hAnsi="宋体" w:eastAsia="仿宋_GB2312" w:cs="Times New Roman"/>
          <w:kern w:val="2"/>
          <w:sz w:val="32"/>
          <w:szCs w:val="28"/>
          <w:highlight w:val="none"/>
          <w:lang w:val="en-US" w:eastAsia="zh-CN" w:bidi="ar-SA"/>
        </w:rPr>
      </w:pPr>
      <w:r>
        <w:rPr>
          <w:rFonts w:hint="eastAsia" w:ascii="仿宋_GB2312" w:hAnsi="宋体" w:eastAsia="仿宋_GB2312" w:cs="Times New Roman"/>
          <w:kern w:val="2"/>
          <w:sz w:val="32"/>
          <w:szCs w:val="28"/>
          <w:highlight w:val="none"/>
          <w:lang w:val="en-US" w:eastAsia="zh-CN" w:bidi="ar-SA"/>
        </w:rPr>
        <w:t>在1</w:t>
      </w:r>
      <w:r>
        <w:rPr>
          <w:rFonts w:hint="eastAsia" w:ascii="仿宋_GB2312" w:hAnsi="宋体" w:cs="Times New Roman"/>
          <w:kern w:val="2"/>
          <w:sz w:val="32"/>
          <w:szCs w:val="28"/>
          <w:highlight w:val="none"/>
          <w:lang w:val="en-US" w:eastAsia="zh-CN" w:bidi="ar-SA"/>
        </w:rPr>
        <w:t>～</w:t>
      </w:r>
      <w:r>
        <w:rPr>
          <w:rFonts w:hint="eastAsia" w:ascii="仿宋_GB2312" w:hAnsi="宋体" w:eastAsia="仿宋_GB2312" w:cs="Times New Roman"/>
          <w:kern w:val="2"/>
          <w:sz w:val="32"/>
          <w:szCs w:val="28"/>
          <w:highlight w:val="none"/>
          <w:lang w:val="en-US" w:eastAsia="zh-CN" w:bidi="ar-SA"/>
        </w:rPr>
        <w:t>30日龄七百弄鸡的饲粮粗蛋白质适宜需求量试验中，试验期30天，综合生长性能、体尺发育、蛋白质利用效率及肠道功能试验结果，建议1</w:t>
      </w:r>
      <w:r>
        <w:rPr>
          <w:rFonts w:hint="eastAsia" w:ascii="仿宋_GB2312" w:hAnsi="宋体" w:cs="Times New Roman"/>
          <w:kern w:val="2"/>
          <w:sz w:val="32"/>
          <w:szCs w:val="28"/>
          <w:highlight w:val="none"/>
          <w:lang w:val="en-US" w:eastAsia="zh-CN" w:bidi="ar-SA"/>
        </w:rPr>
        <w:t>～</w:t>
      </w:r>
      <w:r>
        <w:rPr>
          <w:rFonts w:hint="eastAsia" w:ascii="仿宋_GB2312" w:hAnsi="宋体" w:eastAsia="仿宋_GB2312" w:cs="Times New Roman"/>
          <w:kern w:val="2"/>
          <w:sz w:val="32"/>
          <w:szCs w:val="28"/>
          <w:highlight w:val="none"/>
          <w:lang w:val="en-US" w:eastAsia="zh-CN" w:bidi="ar-SA"/>
        </w:rPr>
        <w:t>30日龄七百弄</w:t>
      </w:r>
      <w:r>
        <w:rPr>
          <w:rFonts w:hint="eastAsia" w:ascii="仿宋_GB2312" w:hAnsi="宋体" w:cs="Times New Roman"/>
          <w:kern w:val="2"/>
          <w:sz w:val="32"/>
          <w:szCs w:val="28"/>
          <w:highlight w:val="none"/>
          <w:lang w:val="en-US" w:eastAsia="zh-CN" w:bidi="ar-SA"/>
        </w:rPr>
        <w:t>种鸡</w:t>
      </w:r>
      <w:r>
        <w:rPr>
          <w:rFonts w:hint="eastAsia" w:ascii="仿宋_GB2312" w:hAnsi="宋体" w:eastAsia="仿宋_GB2312" w:cs="Times New Roman"/>
          <w:kern w:val="2"/>
          <w:sz w:val="32"/>
          <w:szCs w:val="28"/>
          <w:highlight w:val="none"/>
          <w:lang w:val="en-US" w:eastAsia="zh-CN" w:bidi="ar-SA"/>
        </w:rPr>
        <w:t>母鸡饲粮粗蛋白质水平控制在20.05%</w:t>
      </w:r>
      <w:r>
        <w:rPr>
          <w:rFonts w:hint="eastAsia" w:ascii="仿宋_GB2312" w:hAnsi="宋体" w:cs="Times New Roman"/>
          <w:kern w:val="2"/>
          <w:sz w:val="32"/>
          <w:szCs w:val="28"/>
          <w:highlight w:val="none"/>
          <w:lang w:val="en-US" w:eastAsia="zh-CN" w:bidi="ar-SA"/>
        </w:rPr>
        <w:t>～</w:t>
      </w:r>
      <w:r>
        <w:rPr>
          <w:rFonts w:hint="eastAsia" w:ascii="仿宋_GB2312" w:hAnsi="宋体" w:eastAsia="仿宋_GB2312" w:cs="Times New Roman"/>
          <w:kern w:val="2"/>
          <w:sz w:val="32"/>
          <w:szCs w:val="28"/>
          <w:highlight w:val="none"/>
          <w:lang w:val="en-US" w:eastAsia="zh-CN" w:bidi="ar-SA"/>
        </w:rPr>
        <w:t>21.75%，其中21.00%蛋白水平可实现最优增重效果，20.05%蛋白水平有助于提升蛋白质利用效率与经济效益，21.75%水平可进一步改善体型结构和肠道发育</w:t>
      </w:r>
      <w:r>
        <w:rPr>
          <w:rFonts w:hint="eastAsia" w:ascii="仿宋_GB2312" w:hAnsi="宋体" w:cs="Times New Roman"/>
          <w:kern w:val="2"/>
          <w:sz w:val="32"/>
          <w:szCs w:val="28"/>
          <w:highlight w:val="none"/>
          <w:lang w:val="en-US" w:eastAsia="zh-CN" w:bidi="ar-SA"/>
        </w:rPr>
        <w:t>，具体数据见表1、表2。</w:t>
      </w:r>
    </w:p>
    <w:p w14:paraId="75AE39F0">
      <w:pPr>
        <w:keepNext w:val="0"/>
        <w:keepLines w:val="0"/>
        <w:widowControl/>
        <w:suppressLineNumbers w:val="0"/>
        <w:ind w:left="0" w:leftChars="0" w:firstLine="0" w:firstLineChars="0"/>
        <w:jc w:val="cente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eastAsia="zh-CN"/>
        </w:rPr>
        <w:t>表</w:t>
      </w:r>
      <w:r>
        <w:rPr>
          <w:rFonts w:hint="eastAsia" w:ascii="仿宋_GB2312" w:hAnsi="仿宋_GB2312" w:eastAsia="仿宋_GB2312" w:cs="仿宋_GB2312"/>
          <w:color w:val="auto"/>
          <w:sz w:val="24"/>
          <w:szCs w:val="24"/>
          <w:lang w:val="en-US" w:eastAsia="zh-CN"/>
        </w:rPr>
        <w:t xml:space="preserve">1 </w:t>
      </w:r>
      <w:r>
        <w:rPr>
          <w:rFonts w:hint="eastAsia" w:ascii="仿宋_GB2312" w:hAnsi="仿宋_GB2312" w:eastAsia="仿宋_GB2312" w:cs="仿宋_GB2312"/>
          <w:color w:val="auto"/>
          <w:sz w:val="24"/>
          <w:szCs w:val="24"/>
        </w:rPr>
        <w:t>日粮不同粗蛋白水平对</w:t>
      </w:r>
      <w:r>
        <w:rPr>
          <w:rFonts w:hint="eastAsia" w:ascii="仿宋_GB2312" w:hAnsi="仿宋_GB2312" w:eastAsia="仿宋_GB2312" w:cs="仿宋_GB2312"/>
          <w:color w:val="auto"/>
          <w:sz w:val="24"/>
          <w:szCs w:val="24"/>
          <w:lang w:val="en-US" w:eastAsia="zh-CN"/>
        </w:rPr>
        <w:t>1～</w:t>
      </w:r>
      <w:r>
        <w:rPr>
          <w:rFonts w:hint="eastAsia" w:ascii="仿宋_GB2312" w:hAnsi="仿宋_GB2312" w:eastAsia="仿宋_GB2312" w:cs="仿宋_GB2312"/>
          <w:color w:val="auto"/>
          <w:sz w:val="24"/>
          <w:szCs w:val="24"/>
        </w:rPr>
        <w:t>30日龄七百弄</w:t>
      </w:r>
      <w:r>
        <w:rPr>
          <w:rFonts w:hint="eastAsia" w:ascii="仿宋_GB2312" w:hAnsi="仿宋_GB2312" w:eastAsia="仿宋_GB2312" w:cs="仿宋_GB2312"/>
          <w:color w:val="auto"/>
          <w:sz w:val="24"/>
          <w:szCs w:val="24"/>
          <w:lang w:val="en-US" w:eastAsia="zh-CN"/>
        </w:rPr>
        <w:t>种鸡</w:t>
      </w:r>
      <w:r>
        <w:rPr>
          <w:rFonts w:hint="eastAsia" w:ascii="仿宋_GB2312" w:hAnsi="仿宋_GB2312" w:eastAsia="仿宋_GB2312" w:cs="仿宋_GB2312"/>
          <w:color w:val="auto"/>
          <w:sz w:val="24"/>
          <w:szCs w:val="24"/>
        </w:rPr>
        <w:t>母鸡体尺性状的影响</w:t>
      </w:r>
    </w:p>
    <w:tbl>
      <w:tblPr>
        <w:tblStyle w:val="8"/>
        <w:tblpPr w:leftFromText="180" w:rightFromText="180" w:vertAnchor="text" w:horzAnchor="page" w:tblpXSpec="center" w:tblpY="128"/>
        <w:tblOverlap w:val="never"/>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440"/>
        <w:gridCol w:w="1351"/>
        <w:gridCol w:w="1509"/>
        <w:gridCol w:w="1365"/>
        <w:gridCol w:w="1320"/>
        <w:gridCol w:w="982"/>
      </w:tblGrid>
      <w:tr w14:paraId="551BA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vMerge w:val="restart"/>
            <w:tcBorders>
              <w:tl2br w:val="nil"/>
            </w:tcBorders>
            <w:shd w:val="clear" w:color="auto" w:fill="FFFFFF"/>
            <w:noWrap w:val="0"/>
            <w:vAlign w:val="center"/>
          </w:tcPr>
          <w:p w14:paraId="28CAE8B7">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项目</w:t>
            </w:r>
          </w:p>
        </w:tc>
        <w:tc>
          <w:tcPr>
            <w:tcW w:w="3806" w:type="pct"/>
            <w:gridSpan w:val="5"/>
            <w:shd w:val="clear" w:color="auto" w:fill="FFFFFF"/>
            <w:noWrap w:val="0"/>
            <w:vAlign w:val="center"/>
          </w:tcPr>
          <w:p w14:paraId="18907066">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i/>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CP</w:t>
            </w:r>
            <w:r>
              <w:rPr>
                <w:rFonts w:hint="eastAsia" w:ascii="Times New Roman" w:hAnsi="Times New Roman"/>
                <w:b w:val="0"/>
                <w:color w:val="auto"/>
                <w:sz w:val="18"/>
                <w:szCs w:val="18"/>
                <w:vertAlign w:val="baseline"/>
                <w:lang w:val="en-US" w:eastAsia="zh-CN"/>
              </w:rPr>
              <w:t>%</w:t>
            </w:r>
          </w:p>
        </w:tc>
        <w:tc>
          <w:tcPr>
            <w:tcW w:w="535" w:type="pct"/>
            <w:shd w:val="clear" w:color="auto" w:fill="FFFFFF"/>
            <w:noWrap w:val="0"/>
            <w:vAlign w:val="center"/>
          </w:tcPr>
          <w:p w14:paraId="2A7B52A9">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color w:val="auto"/>
                <w:sz w:val="18"/>
                <w:szCs w:val="18"/>
                <w:vertAlign w:val="baseline"/>
                <w:lang w:val="en-US" w:eastAsia="zh-CN"/>
              </w:rPr>
              <w:t>P</w:t>
            </w:r>
            <w:r>
              <w:rPr>
                <w:rFonts w:hint="eastAsia" w:ascii="Times New Roman" w:hAnsi="Times New Roman"/>
                <w:b w:val="0"/>
                <w:color w:val="auto"/>
                <w:sz w:val="18"/>
                <w:szCs w:val="18"/>
                <w:vertAlign w:val="baseline"/>
                <w:lang w:val="en-US" w:eastAsia="zh-CN"/>
              </w:rPr>
              <w:t>值</w:t>
            </w:r>
          </w:p>
        </w:tc>
      </w:tr>
      <w:tr w14:paraId="32191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vMerge w:val="continue"/>
            <w:tcBorders>
              <w:tl2br w:val="nil"/>
            </w:tcBorders>
            <w:shd w:val="clear" w:color="auto" w:fill="FFFFFF"/>
            <w:noWrap w:val="0"/>
            <w:vAlign w:val="center"/>
          </w:tcPr>
          <w:p w14:paraId="43781EE7">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p>
        </w:tc>
        <w:tc>
          <w:tcPr>
            <w:tcW w:w="785" w:type="pct"/>
            <w:shd w:val="clear" w:color="auto" w:fill="FFFFFF"/>
            <w:noWrap w:val="0"/>
            <w:vAlign w:val="center"/>
          </w:tcPr>
          <w:p w14:paraId="457A3F1C">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Times New Roman"/>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1</w:t>
            </w:r>
            <w:r>
              <w:rPr>
                <w:rFonts w:hint="default" w:ascii="Times New Roman" w:hAnsi="Times New Roman" w:cs="Times New Roman"/>
                <w:b w:val="0"/>
                <w:i w:val="0"/>
                <w:color w:val="auto"/>
                <w:sz w:val="18"/>
                <w:szCs w:val="18"/>
                <w:vertAlign w:val="baseline"/>
                <w:lang w:val="en-US" w:eastAsia="zh-CN"/>
              </w:rPr>
              <w:t>8</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92</w:t>
            </w:r>
            <w:r>
              <w:rPr>
                <w:rFonts w:hint="default" w:ascii="Times New Roman" w:hAnsi="Times New Roman" w:cs="Times New Roman"/>
                <w:b w:val="0"/>
                <w:color w:val="auto"/>
                <w:sz w:val="18"/>
                <w:szCs w:val="18"/>
                <w:vertAlign w:val="baseline"/>
                <w:lang w:eastAsia="zh-CN"/>
              </w:rPr>
              <w:t>%</w:t>
            </w:r>
          </w:p>
        </w:tc>
        <w:tc>
          <w:tcPr>
            <w:tcW w:w="736" w:type="pct"/>
            <w:shd w:val="clear" w:color="auto" w:fill="FFFFFF"/>
            <w:noWrap w:val="0"/>
            <w:vAlign w:val="center"/>
          </w:tcPr>
          <w:p w14:paraId="0291D95D">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Times New Roman"/>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20</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05</w:t>
            </w:r>
            <w:r>
              <w:rPr>
                <w:rFonts w:hint="default" w:ascii="Times New Roman" w:hAnsi="Times New Roman" w:cs="Times New Roman"/>
                <w:b w:val="0"/>
                <w:color w:val="auto"/>
                <w:sz w:val="18"/>
                <w:szCs w:val="18"/>
                <w:vertAlign w:val="baseline"/>
                <w:lang w:eastAsia="zh-CN"/>
              </w:rPr>
              <w:t>%</w:t>
            </w:r>
          </w:p>
        </w:tc>
        <w:tc>
          <w:tcPr>
            <w:tcW w:w="822" w:type="pct"/>
            <w:shd w:val="clear" w:color="auto" w:fill="FFFFFF"/>
            <w:noWrap w:val="0"/>
            <w:vAlign w:val="center"/>
          </w:tcPr>
          <w:p w14:paraId="31E37599">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Times New Roman"/>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w:t>
            </w:r>
            <w:r>
              <w:rPr>
                <w:rFonts w:hint="default" w:ascii="Times New Roman" w:hAnsi="Times New Roman" w:cs="Times New Roman"/>
                <w:b w:val="0"/>
                <w:i w:val="0"/>
                <w:color w:val="auto"/>
                <w:sz w:val="18"/>
                <w:szCs w:val="18"/>
                <w:vertAlign w:val="baseline"/>
                <w:lang w:val="en-US" w:eastAsia="zh-CN"/>
              </w:rPr>
              <w:t>0</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98</w:t>
            </w:r>
            <w:r>
              <w:rPr>
                <w:rFonts w:hint="default" w:ascii="Times New Roman" w:hAnsi="Times New Roman" w:cs="Times New Roman"/>
                <w:b w:val="0"/>
                <w:color w:val="auto"/>
                <w:sz w:val="18"/>
                <w:szCs w:val="18"/>
                <w:vertAlign w:val="baseline"/>
                <w:lang w:eastAsia="zh-CN"/>
              </w:rPr>
              <w:t>%</w:t>
            </w:r>
          </w:p>
        </w:tc>
        <w:tc>
          <w:tcPr>
            <w:tcW w:w="744" w:type="pct"/>
            <w:shd w:val="clear" w:color="auto" w:fill="FFFFFF"/>
            <w:noWrap w:val="0"/>
            <w:vAlign w:val="center"/>
          </w:tcPr>
          <w:p w14:paraId="7B09A340">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Times New Roman"/>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w:t>
            </w:r>
            <w:r>
              <w:rPr>
                <w:rFonts w:hint="default" w:ascii="Times New Roman" w:hAnsi="Times New Roman" w:cs="Times New Roman"/>
                <w:b w:val="0"/>
                <w:i w:val="0"/>
                <w:color w:val="auto"/>
                <w:sz w:val="18"/>
                <w:szCs w:val="18"/>
                <w:vertAlign w:val="baseline"/>
                <w:lang w:val="en-US" w:eastAsia="zh-CN"/>
              </w:rPr>
              <w:t>1</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75</w:t>
            </w:r>
            <w:r>
              <w:rPr>
                <w:rFonts w:hint="default" w:ascii="Times New Roman" w:hAnsi="Times New Roman" w:cs="Times New Roman"/>
                <w:b w:val="0"/>
                <w:color w:val="auto"/>
                <w:sz w:val="18"/>
                <w:szCs w:val="18"/>
                <w:vertAlign w:val="baseline"/>
                <w:lang w:eastAsia="zh-CN"/>
              </w:rPr>
              <w:t>%</w:t>
            </w:r>
          </w:p>
        </w:tc>
        <w:tc>
          <w:tcPr>
            <w:tcW w:w="717" w:type="pct"/>
            <w:shd w:val="clear" w:color="auto" w:fill="FFFFFF"/>
            <w:noWrap w:val="0"/>
            <w:vAlign w:val="center"/>
          </w:tcPr>
          <w:p w14:paraId="685778C9">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Times New Roman"/>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w:t>
            </w:r>
            <w:r>
              <w:rPr>
                <w:rFonts w:hint="default" w:ascii="Times New Roman" w:hAnsi="Times New Roman" w:cs="Times New Roman"/>
                <w:b w:val="0"/>
                <w:i w:val="0"/>
                <w:color w:val="auto"/>
                <w:sz w:val="18"/>
                <w:szCs w:val="18"/>
                <w:vertAlign w:val="baseline"/>
                <w:lang w:val="en-US" w:eastAsia="zh-CN"/>
              </w:rPr>
              <w:t>2</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90</w:t>
            </w:r>
            <w:r>
              <w:rPr>
                <w:rFonts w:hint="default" w:ascii="Times New Roman" w:hAnsi="Times New Roman" w:cs="Times New Roman"/>
                <w:b w:val="0"/>
                <w:color w:val="auto"/>
                <w:sz w:val="18"/>
                <w:szCs w:val="18"/>
                <w:vertAlign w:val="baseline"/>
                <w:lang w:eastAsia="zh-CN"/>
              </w:rPr>
              <w:t>%</w:t>
            </w:r>
          </w:p>
        </w:tc>
        <w:tc>
          <w:tcPr>
            <w:tcW w:w="535" w:type="pct"/>
            <w:shd w:val="clear" w:color="auto" w:fill="FFFFFF"/>
            <w:noWrap w:val="0"/>
            <w:vAlign w:val="center"/>
          </w:tcPr>
          <w:p w14:paraId="268CC5D0">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p>
        </w:tc>
      </w:tr>
      <w:tr w14:paraId="086E0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59BB85C0">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体重（</w:t>
            </w:r>
            <w:r>
              <w:rPr>
                <w:rFonts w:hint="eastAsia" w:ascii="Times New Roman" w:hAnsi="Times New Roman"/>
                <w:b w:val="0"/>
                <w:i w:val="0"/>
                <w:color w:val="auto"/>
                <w:sz w:val="18"/>
                <w:szCs w:val="18"/>
                <w:vertAlign w:val="baseline"/>
                <w:lang w:val="en-US" w:eastAsia="zh-CN"/>
              </w:rPr>
              <w:t>g</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419A9F2C">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298</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04</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18</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89</w:t>
            </w:r>
            <w:r>
              <w:rPr>
                <w:rFonts w:hint="eastAsia" w:ascii="Times New Roman" w:hAnsi="Times New Roman"/>
                <w:b w:val="0"/>
                <w:i w:val="0"/>
                <w:color w:val="auto"/>
                <w:sz w:val="18"/>
                <w:szCs w:val="18"/>
                <w:vertAlign w:val="superscript"/>
                <w:lang w:val="en-US" w:eastAsia="zh-CN"/>
              </w:rPr>
              <w:t>a</w:t>
            </w:r>
          </w:p>
        </w:tc>
        <w:tc>
          <w:tcPr>
            <w:tcW w:w="736" w:type="pct"/>
            <w:shd w:val="clear" w:color="auto" w:fill="FFFFFF"/>
            <w:noWrap w:val="0"/>
            <w:vAlign w:val="center"/>
          </w:tcPr>
          <w:p w14:paraId="4FA5D30D">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293.04</w:t>
            </w:r>
            <w:r>
              <w:rPr>
                <w:rStyle w:val="39"/>
                <w:rFonts w:hint="default" w:ascii="Times New Roman" w:hAnsi="Times New Roman" w:cs="Times New Roman"/>
                <w:b w:val="0"/>
                <w:color w:val="auto"/>
                <w:sz w:val="18"/>
                <w:szCs w:val="18"/>
                <w:lang w:val="en-US" w:eastAsia="zh-CN" w:bidi="ar"/>
              </w:rPr>
              <w:t>±</w:t>
            </w:r>
            <w:r>
              <w:rPr>
                <w:rStyle w:val="40"/>
                <w:rFonts w:ascii="Times New Roman" w:hAnsi="Times New Roman" w:eastAsia="宋体"/>
                <w:b w:val="0"/>
                <w:i w:val="0"/>
                <w:color w:val="auto"/>
                <w:sz w:val="18"/>
                <w:szCs w:val="18"/>
                <w:lang w:val="en-US" w:eastAsia="zh-CN" w:bidi="ar"/>
              </w:rPr>
              <w:t>3</w:t>
            </w:r>
            <w:r>
              <w:rPr>
                <w:rStyle w:val="40"/>
                <w:rFonts w:ascii="Times New Roman" w:hAnsi="Times New Roman" w:eastAsia="宋体"/>
                <w:b w:val="0"/>
                <w:color w:val="auto"/>
                <w:sz w:val="18"/>
                <w:szCs w:val="18"/>
                <w:lang w:val="en-US" w:eastAsia="zh-CN" w:bidi="ar"/>
              </w:rPr>
              <w:t>.</w:t>
            </w:r>
            <w:r>
              <w:rPr>
                <w:rStyle w:val="40"/>
                <w:rFonts w:ascii="Times New Roman" w:hAnsi="Times New Roman" w:eastAsia="宋体"/>
                <w:b w:val="0"/>
                <w:i w:val="0"/>
                <w:color w:val="auto"/>
                <w:sz w:val="18"/>
                <w:szCs w:val="18"/>
                <w:lang w:val="en-US" w:eastAsia="zh-CN" w:bidi="ar"/>
              </w:rPr>
              <w:t>94</w:t>
            </w:r>
            <w:r>
              <w:rPr>
                <w:rStyle w:val="40"/>
                <w:rFonts w:hint="eastAsia" w:ascii="Times New Roman" w:hAnsi="Times New Roman"/>
                <w:b w:val="0"/>
                <w:i w:val="0"/>
                <w:color w:val="auto"/>
                <w:sz w:val="18"/>
                <w:szCs w:val="18"/>
                <w:vertAlign w:val="superscript"/>
                <w:lang w:val="en-US" w:eastAsia="zh-CN" w:bidi="ar"/>
              </w:rPr>
              <w:t>ab</w:t>
            </w:r>
          </w:p>
        </w:tc>
        <w:tc>
          <w:tcPr>
            <w:tcW w:w="822" w:type="pct"/>
            <w:shd w:val="clear" w:color="auto" w:fill="FFFFFF"/>
            <w:noWrap w:val="0"/>
            <w:vAlign w:val="center"/>
          </w:tcPr>
          <w:p w14:paraId="2B455A57">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283.02</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12.28</w:t>
            </w:r>
            <w:r>
              <w:rPr>
                <w:rFonts w:hint="eastAsia" w:ascii="Times New Roman" w:hAnsi="Times New Roman" w:cs="Times New Roman"/>
                <w:b w:val="0"/>
                <w:i w:val="0"/>
                <w:iCs w:val="0"/>
                <w:color w:val="auto"/>
                <w:kern w:val="0"/>
                <w:sz w:val="18"/>
                <w:szCs w:val="18"/>
                <w:u w:val="none"/>
                <w:vertAlign w:val="superscript"/>
                <w:lang w:val="en-US" w:eastAsia="zh-CN" w:bidi="ar"/>
              </w:rPr>
              <w:t>b</w:t>
            </w:r>
          </w:p>
        </w:tc>
        <w:tc>
          <w:tcPr>
            <w:tcW w:w="744" w:type="pct"/>
            <w:shd w:val="clear" w:color="auto" w:fill="FFFFFF"/>
            <w:noWrap w:val="0"/>
            <w:vAlign w:val="center"/>
          </w:tcPr>
          <w:p w14:paraId="5378A2DC">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288.45</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12.28</w:t>
            </w:r>
            <w:r>
              <w:rPr>
                <w:rFonts w:hint="eastAsia" w:ascii="Times New Roman" w:hAnsi="Times New Roman" w:cs="Times New Roman"/>
                <w:b w:val="0"/>
                <w:i w:val="0"/>
                <w:iCs w:val="0"/>
                <w:color w:val="auto"/>
                <w:kern w:val="0"/>
                <w:sz w:val="18"/>
                <w:szCs w:val="18"/>
                <w:u w:val="none"/>
                <w:vertAlign w:val="superscript"/>
                <w:lang w:val="en-US" w:eastAsia="zh-CN" w:bidi="ar"/>
              </w:rPr>
              <w:t>ab</w:t>
            </w:r>
          </w:p>
        </w:tc>
        <w:tc>
          <w:tcPr>
            <w:tcW w:w="717" w:type="pct"/>
            <w:shd w:val="clear" w:color="auto" w:fill="FFFFFF"/>
            <w:noWrap w:val="0"/>
            <w:vAlign w:val="center"/>
          </w:tcPr>
          <w:p w14:paraId="029B02AA">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297.9</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8.54</w:t>
            </w:r>
            <w:r>
              <w:rPr>
                <w:rFonts w:hint="eastAsia" w:ascii="Times New Roman" w:hAnsi="Times New Roman" w:cs="Times New Roman"/>
                <w:b w:val="0"/>
                <w:i w:val="0"/>
                <w:iCs w:val="0"/>
                <w:color w:val="auto"/>
                <w:kern w:val="0"/>
                <w:sz w:val="18"/>
                <w:szCs w:val="18"/>
                <w:u w:val="none"/>
                <w:vertAlign w:val="superscript"/>
                <w:lang w:val="en-US" w:eastAsia="zh-CN" w:bidi="ar"/>
              </w:rPr>
              <w:t>a</w:t>
            </w:r>
          </w:p>
        </w:tc>
        <w:tc>
          <w:tcPr>
            <w:tcW w:w="535" w:type="pct"/>
            <w:shd w:val="clear" w:color="auto" w:fill="FFFFFF"/>
            <w:noWrap w:val="0"/>
            <w:vAlign w:val="center"/>
          </w:tcPr>
          <w:p w14:paraId="65533A0E">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cs="Times New Roman"/>
                <w:b w:val="0"/>
                <w:i w:val="0"/>
                <w:iCs w:val="0"/>
                <w:color w:val="auto"/>
                <w:kern w:val="0"/>
                <w:sz w:val="18"/>
                <w:szCs w:val="18"/>
                <w:u w:val="none"/>
                <w:lang w:val="en-US" w:eastAsia="zh-CN" w:bidi="ar"/>
              </w:rPr>
            </w:pPr>
            <w:r>
              <w:rPr>
                <w:rFonts w:hint="eastAsia" w:ascii="Times New Roman" w:hAnsi="Times New Roman" w:cs="Times New Roman"/>
                <w:b w:val="0"/>
                <w:i w:val="0"/>
                <w:iCs w:val="0"/>
                <w:color w:val="auto"/>
                <w:kern w:val="0"/>
                <w:sz w:val="18"/>
                <w:szCs w:val="18"/>
                <w:u w:val="none"/>
                <w:lang w:val="en-US" w:eastAsia="zh-CN" w:bidi="ar"/>
              </w:rPr>
              <w:t>0.190</w:t>
            </w:r>
          </w:p>
        </w:tc>
      </w:tr>
      <w:tr w14:paraId="4C6B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6EF85C03">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体斜长（</w:t>
            </w:r>
            <w:r>
              <w:rPr>
                <w:rFonts w:hint="eastAsia" w:ascii="Times New Roman" w:hAnsi="Times New Roman"/>
                <w:b w:val="0"/>
                <w:i w:val="0"/>
                <w:color w:val="auto"/>
                <w:sz w:val="18"/>
                <w:szCs w:val="18"/>
                <w:vertAlign w:val="baseline"/>
                <w:lang w:val="en-US" w:eastAsia="zh-CN"/>
              </w:rPr>
              <w:t>cm</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52829CEA">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10.46</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0.11</w:t>
            </w:r>
            <w:r>
              <w:rPr>
                <w:rFonts w:hint="default" w:ascii="Times New Roman" w:hAnsi="Times New Roman" w:cs="Times New Roman"/>
                <w:b w:val="0"/>
                <w:i w:val="0"/>
                <w:iCs w:val="0"/>
                <w:color w:val="auto"/>
                <w:kern w:val="0"/>
                <w:sz w:val="18"/>
                <w:szCs w:val="18"/>
                <w:u w:val="none"/>
                <w:vertAlign w:val="superscript"/>
                <w:lang w:eastAsia="zh-CN" w:bidi="ar"/>
              </w:rPr>
              <w:t>b</w:t>
            </w:r>
          </w:p>
        </w:tc>
        <w:tc>
          <w:tcPr>
            <w:tcW w:w="736" w:type="pct"/>
            <w:shd w:val="clear" w:color="auto" w:fill="FFFFFF"/>
            <w:noWrap w:val="0"/>
            <w:vAlign w:val="center"/>
          </w:tcPr>
          <w:p w14:paraId="02D5F3D3">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10.91</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0.16</w:t>
            </w:r>
            <w:r>
              <w:rPr>
                <w:rFonts w:hint="default" w:ascii="Times New Roman" w:hAnsi="Times New Roman" w:cs="Times New Roman"/>
                <w:b w:val="0"/>
                <w:i w:val="0"/>
                <w:iCs w:val="0"/>
                <w:color w:val="auto"/>
                <w:kern w:val="0"/>
                <w:sz w:val="18"/>
                <w:szCs w:val="18"/>
                <w:u w:val="none"/>
                <w:vertAlign w:val="superscript"/>
                <w:lang w:eastAsia="zh-CN" w:bidi="ar"/>
              </w:rPr>
              <w:t>a</w:t>
            </w:r>
          </w:p>
        </w:tc>
        <w:tc>
          <w:tcPr>
            <w:tcW w:w="822" w:type="pct"/>
            <w:shd w:val="clear" w:color="auto" w:fill="FFFFFF"/>
            <w:noWrap w:val="0"/>
            <w:vAlign w:val="center"/>
          </w:tcPr>
          <w:p w14:paraId="58211D85">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10.6</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0.31</w:t>
            </w:r>
            <w:r>
              <w:rPr>
                <w:rFonts w:hint="default" w:ascii="Times New Roman" w:hAnsi="Times New Roman" w:cs="Times New Roman"/>
                <w:b w:val="0"/>
                <w:i w:val="0"/>
                <w:iCs w:val="0"/>
                <w:color w:val="auto"/>
                <w:kern w:val="0"/>
                <w:sz w:val="18"/>
                <w:szCs w:val="18"/>
                <w:u w:val="none"/>
                <w:vertAlign w:val="superscript"/>
                <w:lang w:eastAsia="zh-CN" w:bidi="ar"/>
              </w:rPr>
              <w:t>b</w:t>
            </w:r>
          </w:p>
        </w:tc>
        <w:tc>
          <w:tcPr>
            <w:tcW w:w="744" w:type="pct"/>
            <w:shd w:val="clear" w:color="auto" w:fill="FFFFFF"/>
            <w:noWrap w:val="0"/>
            <w:vAlign w:val="center"/>
          </w:tcPr>
          <w:p w14:paraId="50EE7A17">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10.65</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0.24</w:t>
            </w:r>
            <w:r>
              <w:rPr>
                <w:rFonts w:hint="default" w:ascii="Times New Roman" w:hAnsi="Times New Roman" w:cs="Times New Roman"/>
                <w:b w:val="0"/>
                <w:i w:val="0"/>
                <w:iCs w:val="0"/>
                <w:color w:val="auto"/>
                <w:kern w:val="0"/>
                <w:sz w:val="18"/>
                <w:szCs w:val="18"/>
                <w:u w:val="none"/>
                <w:vertAlign w:val="superscript"/>
                <w:lang w:eastAsia="zh-CN" w:bidi="ar"/>
              </w:rPr>
              <w:t>b</w:t>
            </w:r>
          </w:p>
        </w:tc>
        <w:tc>
          <w:tcPr>
            <w:tcW w:w="717" w:type="pct"/>
            <w:shd w:val="clear" w:color="auto" w:fill="FFFFFF"/>
            <w:noWrap w:val="0"/>
            <w:vAlign w:val="center"/>
          </w:tcPr>
          <w:p w14:paraId="623D3CDE">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11.04</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w:t>
            </w:r>
            <w:r>
              <w:rPr>
                <w:rFonts w:hint="default" w:ascii="Times New Roman" w:hAnsi="Times New Roman" w:cs="Times New Roman"/>
                <w:b w:val="0"/>
                <w:i w:val="0"/>
                <w:iCs w:val="0"/>
                <w:color w:val="auto"/>
                <w:kern w:val="0"/>
                <w:sz w:val="18"/>
                <w:szCs w:val="18"/>
                <w:u w:val="none"/>
                <w:vertAlign w:val="superscript"/>
                <w:lang w:eastAsia="zh-CN" w:bidi="ar"/>
              </w:rPr>
              <w:t>a</w:t>
            </w:r>
          </w:p>
        </w:tc>
        <w:tc>
          <w:tcPr>
            <w:tcW w:w="535" w:type="pct"/>
            <w:shd w:val="clear" w:color="auto" w:fill="FFFFFF"/>
            <w:noWrap w:val="0"/>
            <w:vAlign w:val="center"/>
          </w:tcPr>
          <w:p w14:paraId="243CB69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001</w:t>
            </w:r>
          </w:p>
        </w:tc>
      </w:tr>
      <w:tr w14:paraId="0C6BF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7230A9C5">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龙骨长（</w:t>
            </w:r>
            <w:r>
              <w:rPr>
                <w:rFonts w:hint="eastAsia" w:ascii="Times New Roman" w:hAnsi="Times New Roman"/>
                <w:b w:val="0"/>
                <w:i w:val="0"/>
                <w:color w:val="auto"/>
                <w:sz w:val="18"/>
                <w:szCs w:val="18"/>
                <w:vertAlign w:val="baseline"/>
                <w:lang w:val="en-US" w:eastAsia="zh-CN"/>
              </w:rPr>
              <w:t>cm</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09A9999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5.83</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0.28</w:t>
            </w:r>
            <w:r>
              <w:rPr>
                <w:rFonts w:hint="eastAsia" w:ascii="Times New Roman" w:hAnsi="Times New Roman" w:cs="Times New Roman"/>
                <w:b w:val="0"/>
                <w:i w:val="0"/>
                <w:iCs w:val="0"/>
                <w:color w:val="auto"/>
                <w:kern w:val="0"/>
                <w:sz w:val="18"/>
                <w:szCs w:val="18"/>
                <w:u w:val="none"/>
                <w:vertAlign w:val="superscript"/>
                <w:lang w:val="en-US" w:eastAsia="zh-CN" w:bidi="ar"/>
              </w:rPr>
              <w:t>ab</w:t>
            </w:r>
          </w:p>
        </w:tc>
        <w:tc>
          <w:tcPr>
            <w:tcW w:w="736" w:type="pct"/>
            <w:shd w:val="clear" w:color="auto" w:fill="FFFFFF"/>
            <w:noWrap w:val="0"/>
            <w:vAlign w:val="center"/>
          </w:tcPr>
          <w:p w14:paraId="7544CBCD">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5.87</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0.07</w:t>
            </w:r>
            <w:r>
              <w:rPr>
                <w:rFonts w:hint="eastAsia" w:ascii="Times New Roman" w:hAnsi="Times New Roman" w:cs="Times New Roman"/>
                <w:b w:val="0"/>
                <w:i w:val="0"/>
                <w:iCs w:val="0"/>
                <w:color w:val="auto"/>
                <w:kern w:val="0"/>
                <w:sz w:val="18"/>
                <w:szCs w:val="18"/>
                <w:u w:val="none"/>
                <w:vertAlign w:val="superscript"/>
                <w:lang w:val="en-US" w:eastAsia="zh-CN" w:bidi="ar"/>
              </w:rPr>
              <w:t>ab</w:t>
            </w:r>
          </w:p>
        </w:tc>
        <w:tc>
          <w:tcPr>
            <w:tcW w:w="822" w:type="pct"/>
            <w:shd w:val="clear" w:color="auto" w:fill="FFFFFF"/>
            <w:noWrap w:val="0"/>
            <w:vAlign w:val="center"/>
          </w:tcPr>
          <w:p w14:paraId="373DCDC9">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5.82</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0.12</w:t>
            </w:r>
            <w:r>
              <w:rPr>
                <w:rFonts w:hint="eastAsia" w:ascii="Times New Roman" w:hAnsi="Times New Roman" w:cs="Times New Roman"/>
                <w:b w:val="0"/>
                <w:i w:val="0"/>
                <w:iCs w:val="0"/>
                <w:color w:val="auto"/>
                <w:kern w:val="0"/>
                <w:sz w:val="18"/>
                <w:szCs w:val="18"/>
                <w:u w:val="none"/>
                <w:vertAlign w:val="superscript"/>
                <w:lang w:val="en-US" w:eastAsia="zh-CN" w:bidi="ar"/>
              </w:rPr>
              <w:t>ab</w:t>
            </w:r>
          </w:p>
        </w:tc>
        <w:tc>
          <w:tcPr>
            <w:tcW w:w="744" w:type="pct"/>
            <w:shd w:val="clear" w:color="auto" w:fill="FFFFFF"/>
            <w:noWrap w:val="0"/>
            <w:vAlign w:val="center"/>
          </w:tcPr>
          <w:p w14:paraId="5AD139B3">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5.76</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0.17</w:t>
            </w:r>
            <w:r>
              <w:rPr>
                <w:rFonts w:hint="eastAsia" w:ascii="Times New Roman" w:hAnsi="Times New Roman" w:cs="Times New Roman"/>
                <w:b w:val="0"/>
                <w:i w:val="0"/>
                <w:iCs w:val="0"/>
                <w:color w:val="auto"/>
                <w:kern w:val="0"/>
                <w:sz w:val="18"/>
                <w:szCs w:val="18"/>
                <w:u w:val="none"/>
                <w:vertAlign w:val="superscript"/>
                <w:lang w:val="en-US" w:eastAsia="zh-CN" w:bidi="ar"/>
              </w:rPr>
              <w:t>b</w:t>
            </w:r>
          </w:p>
        </w:tc>
        <w:tc>
          <w:tcPr>
            <w:tcW w:w="717" w:type="pct"/>
            <w:shd w:val="clear" w:color="auto" w:fill="FFFFFF"/>
            <w:noWrap w:val="0"/>
            <w:vAlign w:val="center"/>
          </w:tcPr>
          <w:p w14:paraId="74D619C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5.97</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0.17</w:t>
            </w:r>
            <w:r>
              <w:rPr>
                <w:rFonts w:hint="eastAsia" w:ascii="Times New Roman" w:hAnsi="Times New Roman" w:cs="Times New Roman"/>
                <w:b w:val="0"/>
                <w:i w:val="0"/>
                <w:iCs w:val="0"/>
                <w:color w:val="auto"/>
                <w:kern w:val="0"/>
                <w:sz w:val="18"/>
                <w:szCs w:val="18"/>
                <w:u w:val="none"/>
                <w:vertAlign w:val="superscript"/>
                <w:lang w:val="en-US" w:eastAsia="zh-CN" w:bidi="ar"/>
              </w:rPr>
              <w:t>a</w:t>
            </w:r>
          </w:p>
        </w:tc>
        <w:tc>
          <w:tcPr>
            <w:tcW w:w="535" w:type="pct"/>
            <w:shd w:val="clear" w:color="auto" w:fill="FFFFFF"/>
            <w:noWrap w:val="0"/>
            <w:vAlign w:val="center"/>
          </w:tcPr>
          <w:p w14:paraId="3D29599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cs="Times New Roman"/>
                <w:b w:val="0"/>
                <w:i w:val="0"/>
                <w:iCs w:val="0"/>
                <w:color w:val="auto"/>
                <w:kern w:val="0"/>
                <w:sz w:val="18"/>
                <w:szCs w:val="18"/>
                <w:u w:val="none"/>
                <w:lang w:val="en-US" w:eastAsia="zh-CN" w:bidi="ar"/>
              </w:rPr>
            </w:pPr>
            <w:r>
              <w:rPr>
                <w:rFonts w:hint="eastAsia" w:ascii="Times New Roman" w:hAnsi="Times New Roman" w:cs="Times New Roman"/>
                <w:b w:val="0"/>
                <w:i w:val="0"/>
                <w:iCs w:val="0"/>
                <w:color w:val="auto"/>
                <w:kern w:val="0"/>
                <w:sz w:val="18"/>
                <w:szCs w:val="18"/>
                <w:u w:val="none"/>
                <w:lang w:val="en-US" w:eastAsia="zh-CN" w:bidi="ar"/>
              </w:rPr>
              <w:t>0.341</w:t>
            </w:r>
          </w:p>
        </w:tc>
      </w:tr>
      <w:tr w14:paraId="50165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0A4489CB">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胫围（</w:t>
            </w:r>
            <w:r>
              <w:rPr>
                <w:rFonts w:hint="eastAsia" w:ascii="Times New Roman" w:hAnsi="Times New Roman"/>
                <w:b w:val="0"/>
                <w:i w:val="0"/>
                <w:color w:val="auto"/>
                <w:sz w:val="18"/>
                <w:szCs w:val="18"/>
                <w:vertAlign w:val="baseline"/>
                <w:lang w:val="en-US" w:eastAsia="zh-CN"/>
              </w:rPr>
              <w:t>cm</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4241756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highlight w:val="none"/>
                <w:u w:val="none"/>
                <w:lang w:val="en-US" w:eastAsia="zh-CN" w:bidi="ar"/>
              </w:rPr>
            </w:pPr>
            <w:r>
              <w:rPr>
                <w:rFonts w:hint="eastAsia" w:ascii="Times New Roman" w:hAnsi="Times New Roman" w:cs="Times New Roman"/>
                <w:b w:val="0"/>
                <w:i w:val="0"/>
                <w:iCs w:val="0"/>
                <w:color w:val="auto"/>
                <w:kern w:val="0"/>
                <w:sz w:val="18"/>
                <w:szCs w:val="18"/>
                <w:highlight w:val="none"/>
                <w:u w:val="none"/>
                <w:lang w:val="en-US" w:eastAsia="zh-CN" w:bidi="ar"/>
              </w:rPr>
              <w:t>2.71</w:t>
            </w:r>
            <w:r>
              <w:rPr>
                <w:rFonts w:hint="default" w:ascii="Times New Roman" w:hAnsi="Times New Roman"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0.</w:t>
            </w:r>
            <w:r>
              <w:rPr>
                <w:rFonts w:hint="eastAsia" w:ascii="Times New Roman" w:hAnsi="Times New Roman" w:cs="Times New Roman"/>
                <w:b w:val="0"/>
                <w:i w:val="0"/>
                <w:iCs w:val="0"/>
                <w:color w:val="auto"/>
                <w:kern w:val="0"/>
                <w:sz w:val="18"/>
                <w:szCs w:val="18"/>
                <w:highlight w:val="none"/>
                <w:u w:val="none"/>
                <w:lang w:val="en-US" w:eastAsia="zh-CN" w:bidi="ar"/>
              </w:rPr>
              <w:t>19</w:t>
            </w:r>
            <w:r>
              <w:rPr>
                <w:rFonts w:hint="eastAsia" w:ascii="Times New Roman" w:hAnsi="Times New Roman" w:cs="Times New Roman"/>
                <w:b w:val="0"/>
                <w:i w:val="0"/>
                <w:iCs w:val="0"/>
                <w:color w:val="auto"/>
                <w:kern w:val="0"/>
                <w:sz w:val="18"/>
                <w:szCs w:val="18"/>
                <w:highlight w:val="none"/>
                <w:u w:val="none"/>
                <w:vertAlign w:val="superscript"/>
                <w:lang w:val="en-US" w:eastAsia="zh-CN" w:bidi="ar"/>
              </w:rPr>
              <w:t>ab</w:t>
            </w:r>
          </w:p>
        </w:tc>
        <w:tc>
          <w:tcPr>
            <w:tcW w:w="736" w:type="pct"/>
            <w:shd w:val="clear" w:color="auto" w:fill="FFFFFF"/>
            <w:noWrap w:val="0"/>
            <w:vAlign w:val="center"/>
          </w:tcPr>
          <w:p w14:paraId="6A6373A9">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highlight w:val="none"/>
                <w:u w:val="none"/>
                <w:lang w:val="en-US" w:eastAsia="zh-CN" w:bidi="ar"/>
              </w:rPr>
            </w:pPr>
            <w:r>
              <w:rPr>
                <w:rFonts w:hint="eastAsia" w:ascii="Times New Roman" w:hAnsi="Times New Roman" w:cs="宋体"/>
                <w:b w:val="0"/>
                <w:i w:val="0"/>
                <w:iCs w:val="0"/>
                <w:color w:val="auto"/>
                <w:kern w:val="0"/>
                <w:sz w:val="18"/>
                <w:szCs w:val="18"/>
                <w:highlight w:val="none"/>
                <w:u w:val="none"/>
                <w:lang w:val="en-US" w:eastAsia="zh-CN" w:bidi="ar"/>
              </w:rPr>
              <w:t>2.72</w:t>
            </w:r>
            <w:r>
              <w:rPr>
                <w:rFonts w:hint="default" w:ascii="Times New Roman" w:hAnsi="Times New Roman"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0.14</w:t>
            </w:r>
            <w:r>
              <w:rPr>
                <w:rFonts w:hint="eastAsia" w:ascii="Times New Roman" w:hAnsi="Times New Roman" w:cs="Times New Roman"/>
                <w:b w:val="0"/>
                <w:i w:val="0"/>
                <w:iCs w:val="0"/>
                <w:color w:val="auto"/>
                <w:kern w:val="0"/>
                <w:sz w:val="18"/>
                <w:szCs w:val="18"/>
                <w:highlight w:val="none"/>
                <w:u w:val="none"/>
                <w:vertAlign w:val="superscript"/>
                <w:lang w:val="en-US" w:eastAsia="zh-CN" w:bidi="ar"/>
              </w:rPr>
              <w:t>a</w:t>
            </w:r>
          </w:p>
        </w:tc>
        <w:tc>
          <w:tcPr>
            <w:tcW w:w="822" w:type="pct"/>
            <w:shd w:val="clear" w:color="auto" w:fill="FFFFFF"/>
            <w:noWrap w:val="0"/>
            <w:vAlign w:val="center"/>
          </w:tcPr>
          <w:p w14:paraId="39B4A1EB">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highlight w:val="none"/>
                <w:u w:val="none"/>
                <w:lang w:val="en-US" w:eastAsia="zh-CN" w:bidi="ar"/>
              </w:rPr>
            </w:pPr>
            <w:r>
              <w:rPr>
                <w:rFonts w:hint="eastAsia" w:ascii="Times New Roman" w:hAnsi="Times New Roman" w:cs="宋体"/>
                <w:b w:val="0"/>
                <w:i w:val="0"/>
                <w:iCs w:val="0"/>
                <w:color w:val="auto"/>
                <w:kern w:val="0"/>
                <w:sz w:val="18"/>
                <w:szCs w:val="18"/>
                <w:highlight w:val="none"/>
                <w:u w:val="none"/>
                <w:lang w:val="en-US" w:eastAsia="zh-CN" w:bidi="ar"/>
              </w:rPr>
              <w:t>2.65</w:t>
            </w:r>
            <w:r>
              <w:rPr>
                <w:rFonts w:hint="default" w:ascii="Times New Roman" w:hAnsi="Times New Roman"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0.14</w:t>
            </w:r>
            <w:r>
              <w:rPr>
                <w:rFonts w:hint="eastAsia" w:ascii="Times New Roman" w:hAnsi="Times New Roman" w:cs="Times New Roman"/>
                <w:b w:val="0"/>
                <w:i w:val="0"/>
                <w:iCs w:val="0"/>
                <w:color w:val="auto"/>
                <w:kern w:val="0"/>
                <w:sz w:val="18"/>
                <w:szCs w:val="18"/>
                <w:highlight w:val="none"/>
                <w:u w:val="none"/>
                <w:vertAlign w:val="superscript"/>
                <w:lang w:val="en-US" w:eastAsia="zh-CN" w:bidi="ar"/>
              </w:rPr>
              <w:t>b</w:t>
            </w:r>
          </w:p>
        </w:tc>
        <w:tc>
          <w:tcPr>
            <w:tcW w:w="744" w:type="pct"/>
            <w:shd w:val="clear" w:color="auto" w:fill="FFFFFF"/>
            <w:noWrap w:val="0"/>
            <w:vAlign w:val="center"/>
          </w:tcPr>
          <w:p w14:paraId="1EDCD9F3">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highlight w:val="none"/>
                <w:u w:val="none"/>
                <w:lang w:val="en-US" w:eastAsia="zh-CN" w:bidi="ar"/>
              </w:rPr>
            </w:pPr>
            <w:r>
              <w:rPr>
                <w:rFonts w:hint="eastAsia" w:ascii="Times New Roman" w:hAnsi="Times New Roman" w:cs="宋体"/>
                <w:b w:val="0"/>
                <w:i w:val="0"/>
                <w:iCs w:val="0"/>
                <w:color w:val="auto"/>
                <w:kern w:val="0"/>
                <w:sz w:val="18"/>
                <w:szCs w:val="18"/>
                <w:highlight w:val="none"/>
                <w:u w:val="none"/>
                <w:lang w:val="en-US" w:eastAsia="zh-CN" w:bidi="ar"/>
              </w:rPr>
              <w:t>2.65</w:t>
            </w:r>
            <w:r>
              <w:rPr>
                <w:rFonts w:hint="default" w:ascii="Times New Roman" w:hAnsi="Times New Roman"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0.</w:t>
            </w:r>
            <w:r>
              <w:rPr>
                <w:rFonts w:hint="eastAsia" w:ascii="Times New Roman" w:hAnsi="Times New Roman" w:cs="Times New Roman"/>
                <w:b w:val="0"/>
                <w:i w:val="0"/>
                <w:iCs w:val="0"/>
                <w:color w:val="auto"/>
                <w:kern w:val="0"/>
                <w:sz w:val="18"/>
                <w:szCs w:val="18"/>
                <w:highlight w:val="none"/>
                <w:u w:val="none"/>
                <w:lang w:val="en-US" w:eastAsia="zh-CN" w:bidi="ar"/>
              </w:rPr>
              <w:t>12</w:t>
            </w:r>
            <w:r>
              <w:rPr>
                <w:rFonts w:hint="eastAsia" w:ascii="Times New Roman" w:hAnsi="Times New Roman" w:cs="Times New Roman"/>
                <w:b w:val="0"/>
                <w:i w:val="0"/>
                <w:iCs w:val="0"/>
                <w:color w:val="auto"/>
                <w:kern w:val="0"/>
                <w:sz w:val="18"/>
                <w:szCs w:val="18"/>
                <w:highlight w:val="none"/>
                <w:u w:val="none"/>
                <w:vertAlign w:val="superscript"/>
                <w:lang w:val="en-US" w:eastAsia="zh-CN" w:bidi="ar"/>
              </w:rPr>
              <w:t>b</w:t>
            </w:r>
          </w:p>
        </w:tc>
        <w:tc>
          <w:tcPr>
            <w:tcW w:w="717" w:type="pct"/>
            <w:shd w:val="clear" w:color="auto" w:fill="FFFFFF"/>
            <w:noWrap w:val="0"/>
            <w:vAlign w:val="center"/>
          </w:tcPr>
          <w:p w14:paraId="21921F2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highlight w:val="none"/>
                <w:u w:val="none"/>
                <w:lang w:val="en-US" w:eastAsia="zh-CN" w:bidi="ar"/>
              </w:rPr>
            </w:pPr>
            <w:r>
              <w:rPr>
                <w:rFonts w:hint="eastAsia" w:ascii="Times New Roman" w:hAnsi="Times New Roman" w:cs="宋体"/>
                <w:b w:val="0"/>
                <w:i w:val="0"/>
                <w:iCs w:val="0"/>
                <w:color w:val="auto"/>
                <w:kern w:val="0"/>
                <w:sz w:val="18"/>
                <w:szCs w:val="18"/>
                <w:highlight w:val="none"/>
                <w:u w:val="none"/>
                <w:lang w:val="en-US" w:eastAsia="zh-CN" w:bidi="ar"/>
              </w:rPr>
              <w:t>2.65</w:t>
            </w:r>
            <w:r>
              <w:rPr>
                <w:rFonts w:hint="default" w:ascii="Times New Roman" w:hAnsi="Times New Roman" w:cs="Times New Roman"/>
                <w:b w:val="0"/>
                <w:i w:val="0"/>
                <w:iCs w:val="0"/>
                <w:color w:val="auto"/>
                <w:kern w:val="0"/>
                <w:sz w:val="18"/>
                <w:szCs w:val="18"/>
                <w:highlight w:val="none"/>
                <w:u w:val="none"/>
                <w:lang w:val="en-US" w:eastAsia="zh-CN" w:bidi="ar"/>
              </w:rPr>
              <w:t>±</w:t>
            </w:r>
            <w:r>
              <w:rPr>
                <w:rFonts w:hint="default" w:ascii="Times New Roman" w:hAnsi="Times New Roman" w:eastAsia="宋体" w:cs="Times New Roman"/>
                <w:b w:val="0"/>
                <w:i w:val="0"/>
                <w:iCs w:val="0"/>
                <w:color w:val="auto"/>
                <w:kern w:val="0"/>
                <w:sz w:val="18"/>
                <w:szCs w:val="18"/>
                <w:highlight w:val="none"/>
                <w:u w:val="none"/>
                <w:lang w:val="en-US" w:eastAsia="zh-CN" w:bidi="ar"/>
              </w:rPr>
              <w:t>0.0</w:t>
            </w:r>
            <w:r>
              <w:rPr>
                <w:rFonts w:hint="eastAsia" w:ascii="Times New Roman" w:hAnsi="Times New Roman" w:cs="Times New Roman"/>
                <w:b w:val="0"/>
                <w:i w:val="0"/>
                <w:iCs w:val="0"/>
                <w:color w:val="auto"/>
                <w:kern w:val="0"/>
                <w:sz w:val="18"/>
                <w:szCs w:val="18"/>
                <w:highlight w:val="none"/>
                <w:u w:val="none"/>
                <w:lang w:val="en-US" w:eastAsia="zh-CN" w:bidi="ar"/>
              </w:rPr>
              <w:t>9</w:t>
            </w:r>
            <w:r>
              <w:rPr>
                <w:rFonts w:hint="eastAsia" w:ascii="Times New Roman" w:hAnsi="Times New Roman" w:cs="Times New Roman"/>
                <w:b w:val="0"/>
                <w:i w:val="0"/>
                <w:iCs w:val="0"/>
                <w:color w:val="auto"/>
                <w:kern w:val="0"/>
                <w:sz w:val="18"/>
                <w:szCs w:val="18"/>
                <w:highlight w:val="none"/>
                <w:u w:val="none"/>
                <w:vertAlign w:val="superscript"/>
                <w:lang w:val="en-US" w:eastAsia="zh-CN" w:bidi="ar"/>
              </w:rPr>
              <w:t>b</w:t>
            </w:r>
          </w:p>
        </w:tc>
        <w:tc>
          <w:tcPr>
            <w:tcW w:w="535" w:type="pct"/>
            <w:shd w:val="clear" w:color="auto" w:fill="FFFFFF"/>
            <w:noWrap w:val="0"/>
            <w:vAlign w:val="center"/>
          </w:tcPr>
          <w:p w14:paraId="7C9C28D7">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cs="Times New Roman"/>
                <w:b w:val="0"/>
                <w:i w:val="0"/>
                <w:iCs w:val="0"/>
                <w:color w:val="auto"/>
                <w:kern w:val="0"/>
                <w:sz w:val="18"/>
                <w:szCs w:val="18"/>
                <w:u w:val="none"/>
                <w:lang w:val="en-US" w:eastAsia="zh-CN" w:bidi="ar"/>
              </w:rPr>
            </w:pPr>
            <w:r>
              <w:rPr>
                <w:rFonts w:hint="eastAsia" w:ascii="Times New Roman" w:hAnsi="Times New Roman" w:cs="Times New Roman"/>
                <w:b w:val="0"/>
                <w:i w:val="0"/>
                <w:iCs w:val="0"/>
                <w:color w:val="auto"/>
                <w:kern w:val="0"/>
                <w:sz w:val="18"/>
                <w:szCs w:val="18"/>
                <w:highlight w:val="none"/>
                <w:u w:val="none"/>
                <w:lang w:val="en-US" w:eastAsia="zh-CN" w:bidi="ar"/>
              </w:rPr>
              <w:t>0.257</w:t>
            </w:r>
          </w:p>
        </w:tc>
      </w:tr>
      <w:tr w14:paraId="1C79B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0C8EBDDD">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胫长（</w:t>
            </w:r>
            <w:r>
              <w:rPr>
                <w:rFonts w:hint="eastAsia" w:ascii="Times New Roman" w:hAnsi="Times New Roman"/>
                <w:b w:val="0"/>
                <w:i w:val="0"/>
                <w:color w:val="auto"/>
                <w:sz w:val="18"/>
                <w:szCs w:val="18"/>
                <w:vertAlign w:val="baseline"/>
                <w:lang w:val="en-US" w:eastAsia="zh-CN"/>
              </w:rPr>
              <w:t>cm</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1F0C9ECD">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4.64</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0.17</w:t>
            </w:r>
            <w:r>
              <w:rPr>
                <w:rFonts w:hint="eastAsia" w:ascii="Times New Roman" w:hAnsi="Times New Roman" w:cs="Times New Roman"/>
                <w:b w:val="0"/>
                <w:i w:val="0"/>
                <w:iCs w:val="0"/>
                <w:color w:val="auto"/>
                <w:kern w:val="0"/>
                <w:sz w:val="18"/>
                <w:szCs w:val="18"/>
                <w:u w:val="none"/>
                <w:vertAlign w:val="superscript"/>
                <w:lang w:val="en-US" w:eastAsia="zh-CN" w:bidi="ar"/>
              </w:rPr>
              <w:t>a</w:t>
            </w:r>
          </w:p>
        </w:tc>
        <w:tc>
          <w:tcPr>
            <w:tcW w:w="736" w:type="pct"/>
            <w:shd w:val="clear" w:color="auto" w:fill="FFFFFF"/>
            <w:noWrap w:val="0"/>
            <w:vAlign w:val="center"/>
          </w:tcPr>
          <w:p w14:paraId="359C035E">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4.49</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0.12</w:t>
            </w:r>
            <w:r>
              <w:rPr>
                <w:rFonts w:hint="eastAsia" w:ascii="Times New Roman" w:hAnsi="Times New Roman" w:cs="Times New Roman"/>
                <w:b w:val="0"/>
                <w:i w:val="0"/>
                <w:iCs w:val="0"/>
                <w:color w:val="auto"/>
                <w:kern w:val="0"/>
                <w:sz w:val="18"/>
                <w:szCs w:val="18"/>
                <w:u w:val="none"/>
                <w:vertAlign w:val="superscript"/>
                <w:lang w:val="en-US" w:eastAsia="zh-CN" w:bidi="ar"/>
              </w:rPr>
              <w:t>b</w:t>
            </w:r>
          </w:p>
        </w:tc>
        <w:tc>
          <w:tcPr>
            <w:tcW w:w="822" w:type="pct"/>
            <w:shd w:val="clear" w:color="auto" w:fill="FFFFFF"/>
            <w:noWrap w:val="0"/>
            <w:vAlign w:val="center"/>
          </w:tcPr>
          <w:p w14:paraId="40367F2A">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4.54</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0.08</w:t>
            </w:r>
            <w:r>
              <w:rPr>
                <w:rFonts w:hint="eastAsia" w:ascii="Times New Roman" w:hAnsi="Times New Roman" w:cs="Times New Roman"/>
                <w:b w:val="0"/>
                <w:i w:val="0"/>
                <w:iCs w:val="0"/>
                <w:color w:val="auto"/>
                <w:kern w:val="0"/>
                <w:sz w:val="18"/>
                <w:szCs w:val="18"/>
                <w:u w:val="none"/>
                <w:vertAlign w:val="superscript"/>
                <w:lang w:val="en-US" w:eastAsia="zh-CN" w:bidi="ar"/>
              </w:rPr>
              <w:t>ab</w:t>
            </w:r>
          </w:p>
        </w:tc>
        <w:tc>
          <w:tcPr>
            <w:tcW w:w="744" w:type="pct"/>
            <w:shd w:val="clear" w:color="auto" w:fill="FFFFFF"/>
            <w:noWrap w:val="0"/>
            <w:vAlign w:val="center"/>
          </w:tcPr>
          <w:p w14:paraId="14C94648">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4.54</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0.16</w:t>
            </w:r>
            <w:r>
              <w:rPr>
                <w:rFonts w:hint="eastAsia" w:ascii="Times New Roman" w:hAnsi="Times New Roman" w:cs="Times New Roman"/>
                <w:b w:val="0"/>
                <w:i w:val="0"/>
                <w:iCs w:val="0"/>
                <w:color w:val="auto"/>
                <w:kern w:val="0"/>
                <w:sz w:val="18"/>
                <w:szCs w:val="18"/>
                <w:u w:val="none"/>
                <w:vertAlign w:val="superscript"/>
                <w:lang w:val="en-US" w:eastAsia="zh-CN" w:bidi="ar"/>
              </w:rPr>
              <w:t>ab</w:t>
            </w:r>
          </w:p>
        </w:tc>
        <w:tc>
          <w:tcPr>
            <w:tcW w:w="717" w:type="pct"/>
            <w:shd w:val="clear" w:color="auto" w:fill="FFFFFF"/>
            <w:noWrap w:val="0"/>
            <w:vAlign w:val="center"/>
          </w:tcPr>
          <w:p w14:paraId="5D28C7CA">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4.55</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0.09</w:t>
            </w:r>
            <w:r>
              <w:rPr>
                <w:rFonts w:hint="eastAsia" w:ascii="Times New Roman" w:hAnsi="Times New Roman" w:cs="Times New Roman"/>
                <w:b w:val="0"/>
                <w:i w:val="0"/>
                <w:iCs w:val="0"/>
                <w:color w:val="auto"/>
                <w:kern w:val="0"/>
                <w:sz w:val="18"/>
                <w:szCs w:val="18"/>
                <w:u w:val="none"/>
                <w:vertAlign w:val="superscript"/>
                <w:lang w:val="en-US" w:eastAsia="zh-CN" w:bidi="ar"/>
              </w:rPr>
              <w:t>ab</w:t>
            </w:r>
          </w:p>
        </w:tc>
        <w:tc>
          <w:tcPr>
            <w:tcW w:w="535" w:type="pct"/>
            <w:shd w:val="clear" w:color="auto" w:fill="FFFFFF"/>
            <w:noWrap w:val="0"/>
            <w:vAlign w:val="center"/>
          </w:tcPr>
          <w:p w14:paraId="486386F4">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cs="Times New Roman"/>
                <w:b w:val="0"/>
                <w:i w:val="0"/>
                <w:iCs w:val="0"/>
                <w:color w:val="auto"/>
                <w:kern w:val="0"/>
                <w:sz w:val="18"/>
                <w:szCs w:val="18"/>
                <w:u w:val="none"/>
                <w:lang w:val="en-US" w:eastAsia="zh-CN" w:bidi="ar"/>
              </w:rPr>
            </w:pPr>
            <w:r>
              <w:rPr>
                <w:rFonts w:hint="eastAsia" w:ascii="Times New Roman" w:hAnsi="Times New Roman" w:cs="Times New Roman"/>
                <w:b w:val="0"/>
                <w:i w:val="0"/>
                <w:iCs w:val="0"/>
                <w:color w:val="auto"/>
                <w:kern w:val="0"/>
                <w:sz w:val="18"/>
                <w:szCs w:val="18"/>
                <w:u w:val="none"/>
                <w:lang w:val="en-US" w:eastAsia="zh-CN" w:bidi="ar"/>
              </w:rPr>
              <w:t>0.370</w:t>
            </w:r>
          </w:p>
        </w:tc>
      </w:tr>
      <w:tr w14:paraId="41484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566D5877">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胸深（</w:t>
            </w:r>
            <w:r>
              <w:rPr>
                <w:rFonts w:hint="eastAsia" w:ascii="Times New Roman" w:hAnsi="Times New Roman"/>
                <w:b w:val="0"/>
                <w:i w:val="0"/>
                <w:color w:val="auto"/>
                <w:sz w:val="18"/>
                <w:szCs w:val="18"/>
                <w:vertAlign w:val="baseline"/>
                <w:lang w:val="en-US" w:eastAsia="zh-CN"/>
              </w:rPr>
              <w:t>cm</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2A321B1E">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5.15</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0.13</w:t>
            </w:r>
            <w:r>
              <w:rPr>
                <w:rFonts w:hint="default" w:ascii="Times New Roman" w:hAnsi="Times New Roman" w:cs="Times New Roman"/>
                <w:b w:val="0"/>
                <w:i w:val="0"/>
                <w:iCs w:val="0"/>
                <w:color w:val="auto"/>
                <w:kern w:val="0"/>
                <w:sz w:val="18"/>
                <w:szCs w:val="18"/>
                <w:u w:val="none"/>
                <w:vertAlign w:val="superscript"/>
                <w:lang w:eastAsia="zh-CN" w:bidi="ar"/>
              </w:rPr>
              <w:t>b</w:t>
            </w:r>
          </w:p>
        </w:tc>
        <w:tc>
          <w:tcPr>
            <w:tcW w:w="736" w:type="pct"/>
            <w:shd w:val="clear" w:color="auto" w:fill="FFFFFF"/>
            <w:noWrap w:val="0"/>
            <w:vAlign w:val="center"/>
          </w:tcPr>
          <w:p w14:paraId="4B49C88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5.2</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0.12</w:t>
            </w:r>
            <w:r>
              <w:rPr>
                <w:rFonts w:hint="default" w:ascii="Times New Roman" w:hAnsi="Times New Roman" w:cs="Times New Roman"/>
                <w:b w:val="0"/>
                <w:i w:val="0"/>
                <w:iCs w:val="0"/>
                <w:color w:val="auto"/>
                <w:kern w:val="0"/>
                <w:sz w:val="18"/>
                <w:szCs w:val="18"/>
                <w:u w:val="none"/>
                <w:vertAlign w:val="superscript"/>
                <w:lang w:eastAsia="zh-CN" w:bidi="ar"/>
              </w:rPr>
              <w:t>b</w:t>
            </w:r>
          </w:p>
        </w:tc>
        <w:tc>
          <w:tcPr>
            <w:tcW w:w="822" w:type="pct"/>
            <w:shd w:val="clear" w:color="auto" w:fill="FFFFFF"/>
            <w:noWrap w:val="0"/>
            <w:vAlign w:val="center"/>
          </w:tcPr>
          <w:p w14:paraId="53ABCC17">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5</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48</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13</w:t>
            </w:r>
            <w:r>
              <w:rPr>
                <w:rFonts w:hint="default" w:ascii="Times New Roman" w:hAnsi="Times New Roman"/>
                <w:b w:val="0"/>
                <w:i w:val="0"/>
                <w:color w:val="auto"/>
                <w:sz w:val="18"/>
                <w:szCs w:val="18"/>
                <w:vertAlign w:val="superscript"/>
                <w:lang w:eastAsia="zh-CN"/>
              </w:rPr>
              <w:t>a</w:t>
            </w:r>
          </w:p>
        </w:tc>
        <w:tc>
          <w:tcPr>
            <w:tcW w:w="744" w:type="pct"/>
            <w:shd w:val="clear" w:color="auto" w:fill="FFFFFF"/>
            <w:noWrap w:val="0"/>
            <w:vAlign w:val="center"/>
          </w:tcPr>
          <w:p w14:paraId="4D8ACE1E">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5</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48</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w:t>
            </w:r>
            <w:r>
              <w:rPr>
                <w:rFonts w:hint="default" w:ascii="Times New Roman" w:hAnsi="Times New Roman"/>
                <w:b w:val="0"/>
                <w:i w:val="0"/>
                <w:color w:val="auto"/>
                <w:sz w:val="18"/>
                <w:szCs w:val="18"/>
                <w:vertAlign w:val="superscript"/>
                <w:lang w:eastAsia="zh-CN"/>
              </w:rPr>
              <w:t>a</w:t>
            </w:r>
          </w:p>
        </w:tc>
        <w:tc>
          <w:tcPr>
            <w:tcW w:w="717" w:type="pct"/>
            <w:shd w:val="clear" w:color="auto" w:fill="FFFFFF"/>
            <w:noWrap w:val="0"/>
            <w:vAlign w:val="center"/>
          </w:tcPr>
          <w:p w14:paraId="6489A2A2">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5</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51</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11</w:t>
            </w:r>
            <w:r>
              <w:rPr>
                <w:rFonts w:hint="default" w:ascii="Times New Roman" w:hAnsi="Times New Roman"/>
                <w:b w:val="0"/>
                <w:i w:val="0"/>
                <w:color w:val="auto"/>
                <w:sz w:val="18"/>
                <w:szCs w:val="18"/>
                <w:vertAlign w:val="superscript"/>
                <w:lang w:eastAsia="zh-CN"/>
              </w:rPr>
              <w:t>a</w:t>
            </w:r>
          </w:p>
        </w:tc>
        <w:tc>
          <w:tcPr>
            <w:tcW w:w="535" w:type="pct"/>
            <w:shd w:val="clear" w:color="auto" w:fill="FFFFFF"/>
            <w:noWrap w:val="0"/>
            <w:vAlign w:val="center"/>
          </w:tcPr>
          <w:p w14:paraId="6AB05454">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001</w:t>
            </w:r>
          </w:p>
        </w:tc>
      </w:tr>
      <w:tr w14:paraId="761DC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798B6A92">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胸宽（</w:t>
            </w:r>
            <w:r>
              <w:rPr>
                <w:rFonts w:hint="eastAsia" w:ascii="Times New Roman" w:hAnsi="Times New Roman"/>
                <w:b w:val="0"/>
                <w:i w:val="0"/>
                <w:color w:val="auto"/>
                <w:sz w:val="18"/>
                <w:szCs w:val="18"/>
                <w:vertAlign w:val="baseline"/>
                <w:lang w:val="en-US" w:eastAsia="zh-CN"/>
              </w:rPr>
              <w:t>cm</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63BA26E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Times New Roman"/>
                <w:b w:val="0"/>
                <w:i w:val="0"/>
                <w:iCs w:val="0"/>
                <w:color w:val="auto"/>
                <w:kern w:val="0"/>
                <w:sz w:val="18"/>
                <w:szCs w:val="18"/>
                <w:u w:val="none"/>
                <w:lang w:val="en-US" w:eastAsia="zh-CN" w:bidi="ar"/>
              </w:rPr>
            </w:pPr>
            <w:r>
              <w:rPr>
                <w:rFonts w:hint="default" w:ascii="Times New Roman" w:hAnsi="Times New Roman" w:eastAsia="宋体" w:cs="Times New Roman"/>
                <w:b w:val="0"/>
                <w:i w:val="0"/>
                <w:iCs w:val="0"/>
                <w:color w:val="auto"/>
                <w:kern w:val="0"/>
                <w:sz w:val="18"/>
                <w:szCs w:val="18"/>
                <w:u w:val="none"/>
                <w:lang w:val="en-US" w:eastAsia="zh-CN" w:bidi="ar"/>
              </w:rPr>
              <w:t>3.24</w:t>
            </w:r>
            <w:r>
              <w:rPr>
                <w:rFonts w:hint="default" w:ascii="Times New Roman" w:hAnsi="Times New Roman" w:cs="Times New Roman"/>
                <w:b w:val="0"/>
                <w:i w:val="0"/>
                <w:iCs w:val="0"/>
                <w:color w:val="auto"/>
                <w:kern w:val="0"/>
                <w:sz w:val="18"/>
                <w:szCs w:val="18"/>
                <w:u w:val="none"/>
                <w:lang w:val="en-US" w:eastAsia="zh-CN" w:bidi="ar"/>
              </w:rPr>
              <w:t>±</w:t>
            </w:r>
            <w:r>
              <w:rPr>
                <w:rFonts w:hint="default" w:ascii="Times New Roman" w:hAnsi="Times New Roman" w:eastAsia="宋体" w:cs="Times New Roman"/>
                <w:b w:val="0"/>
                <w:i w:val="0"/>
                <w:iCs w:val="0"/>
                <w:color w:val="auto"/>
                <w:kern w:val="0"/>
                <w:sz w:val="18"/>
                <w:szCs w:val="18"/>
                <w:u w:val="none"/>
                <w:lang w:val="en-US" w:eastAsia="zh-CN" w:bidi="ar"/>
              </w:rPr>
              <w:t>0.15</w:t>
            </w:r>
            <w:r>
              <w:rPr>
                <w:rFonts w:hint="default" w:ascii="Times New Roman" w:hAnsi="Times New Roman" w:cs="Times New Roman"/>
                <w:b w:val="0"/>
                <w:i w:val="0"/>
                <w:iCs w:val="0"/>
                <w:color w:val="auto"/>
                <w:kern w:val="0"/>
                <w:sz w:val="18"/>
                <w:szCs w:val="18"/>
                <w:u w:val="none"/>
                <w:vertAlign w:val="superscript"/>
                <w:lang w:eastAsia="zh-CN" w:bidi="ar"/>
              </w:rPr>
              <w:t>c</w:t>
            </w:r>
          </w:p>
        </w:tc>
        <w:tc>
          <w:tcPr>
            <w:tcW w:w="736" w:type="pct"/>
            <w:shd w:val="clear" w:color="auto" w:fill="FFFFFF"/>
            <w:noWrap w:val="0"/>
            <w:vAlign w:val="center"/>
          </w:tcPr>
          <w:p w14:paraId="4172D479">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val="0"/>
                <w:i w:val="0"/>
                <w:iCs w:val="0"/>
                <w:color w:val="auto"/>
                <w:kern w:val="0"/>
                <w:sz w:val="18"/>
                <w:szCs w:val="18"/>
                <w:u w:val="none"/>
                <w:vertAlign w:val="baseline"/>
                <w:lang w:val="en-US" w:eastAsia="zh-CN" w:bidi="ar"/>
              </w:rPr>
            </w:pPr>
            <w:r>
              <w:rPr>
                <w:rFonts w:hint="default" w:ascii="Times New Roman" w:hAnsi="Times New Roman" w:eastAsia="宋体" w:cs="Times New Roman"/>
                <w:b w:val="0"/>
                <w:i w:val="0"/>
                <w:iCs w:val="0"/>
                <w:color w:val="auto"/>
                <w:kern w:val="0"/>
                <w:sz w:val="18"/>
                <w:szCs w:val="18"/>
                <w:u w:val="none"/>
                <w:vertAlign w:val="baseline"/>
                <w:lang w:val="en-US" w:eastAsia="zh-CN" w:bidi="ar"/>
              </w:rPr>
              <w:t>3.36</w:t>
            </w:r>
            <w:r>
              <w:rPr>
                <w:rFonts w:hint="default" w:ascii="Times New Roman" w:hAnsi="Times New Roman" w:cs="Times New Roman"/>
                <w:b w:val="0"/>
                <w:i w:val="0"/>
                <w:iCs w:val="0"/>
                <w:color w:val="auto"/>
                <w:kern w:val="0"/>
                <w:sz w:val="18"/>
                <w:szCs w:val="18"/>
                <w:u w:val="none"/>
                <w:vertAlign w:val="baseline"/>
                <w:lang w:val="en-US" w:eastAsia="zh-CN" w:bidi="ar"/>
              </w:rPr>
              <w:t>±</w:t>
            </w:r>
            <w:r>
              <w:rPr>
                <w:rFonts w:hint="default" w:ascii="Times New Roman" w:hAnsi="Times New Roman" w:eastAsia="宋体" w:cs="Times New Roman"/>
                <w:b w:val="0"/>
                <w:i w:val="0"/>
                <w:iCs w:val="0"/>
                <w:color w:val="auto"/>
                <w:kern w:val="0"/>
                <w:sz w:val="18"/>
                <w:szCs w:val="18"/>
                <w:u w:val="none"/>
                <w:vertAlign w:val="baseline"/>
                <w:lang w:val="en-US" w:eastAsia="zh-CN" w:bidi="ar"/>
              </w:rPr>
              <w:t>0.13</w:t>
            </w:r>
            <w:r>
              <w:rPr>
                <w:rFonts w:hint="default" w:ascii="Times New Roman" w:hAnsi="Times New Roman" w:cs="Times New Roman"/>
                <w:b w:val="0"/>
                <w:i w:val="0"/>
                <w:iCs w:val="0"/>
                <w:color w:val="auto"/>
                <w:kern w:val="0"/>
                <w:sz w:val="18"/>
                <w:szCs w:val="18"/>
                <w:u w:val="none"/>
                <w:vertAlign w:val="superscript"/>
                <w:lang w:eastAsia="zh-CN" w:bidi="ar"/>
              </w:rPr>
              <w:t>b</w:t>
            </w:r>
            <w:r>
              <w:rPr>
                <w:rFonts w:hint="eastAsia" w:ascii="Times New Roman" w:hAnsi="Times New Roman" w:cs="Times New Roman"/>
                <w:b w:val="0"/>
                <w:i w:val="0"/>
                <w:iCs w:val="0"/>
                <w:color w:val="auto"/>
                <w:kern w:val="0"/>
                <w:sz w:val="18"/>
                <w:szCs w:val="18"/>
                <w:u w:val="none"/>
                <w:vertAlign w:val="superscript"/>
                <w:lang w:val="en-US" w:eastAsia="zh-CN" w:bidi="ar"/>
              </w:rPr>
              <w:t>c</w:t>
            </w:r>
          </w:p>
        </w:tc>
        <w:tc>
          <w:tcPr>
            <w:tcW w:w="822" w:type="pct"/>
            <w:shd w:val="clear" w:color="auto" w:fill="FFFFFF"/>
            <w:noWrap w:val="0"/>
            <w:vAlign w:val="center"/>
          </w:tcPr>
          <w:p w14:paraId="0ADCFE81">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3</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57</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w:t>
            </w:r>
            <w:r>
              <w:rPr>
                <w:rFonts w:hint="default" w:ascii="Times New Roman" w:hAnsi="Times New Roman"/>
                <w:b w:val="0"/>
                <w:i w:val="0"/>
                <w:color w:val="auto"/>
                <w:sz w:val="18"/>
                <w:szCs w:val="18"/>
                <w:vertAlign w:val="superscript"/>
                <w:lang w:eastAsia="zh-CN"/>
              </w:rPr>
              <w:t>a</w:t>
            </w:r>
          </w:p>
        </w:tc>
        <w:tc>
          <w:tcPr>
            <w:tcW w:w="744" w:type="pct"/>
            <w:shd w:val="clear" w:color="auto" w:fill="FFFFFF"/>
            <w:noWrap w:val="0"/>
            <w:vAlign w:val="center"/>
          </w:tcPr>
          <w:p w14:paraId="276DAB8E">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3</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47</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09</w:t>
            </w:r>
            <w:r>
              <w:rPr>
                <w:rFonts w:hint="default" w:ascii="Times New Roman" w:hAnsi="Times New Roman"/>
                <w:b w:val="0"/>
                <w:i w:val="0"/>
                <w:color w:val="auto"/>
                <w:sz w:val="18"/>
                <w:szCs w:val="18"/>
                <w:vertAlign w:val="superscript"/>
                <w:lang w:eastAsia="zh-CN"/>
              </w:rPr>
              <w:t>ab</w:t>
            </w:r>
          </w:p>
        </w:tc>
        <w:tc>
          <w:tcPr>
            <w:tcW w:w="717" w:type="pct"/>
            <w:shd w:val="clear" w:color="auto" w:fill="FFFFFF"/>
            <w:noWrap w:val="0"/>
            <w:vAlign w:val="center"/>
          </w:tcPr>
          <w:p w14:paraId="72A04A6C">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3</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56</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w:t>
            </w:r>
            <w:r>
              <w:rPr>
                <w:rFonts w:hint="default" w:ascii="Times New Roman" w:hAnsi="Times New Roman"/>
                <w:b w:val="0"/>
                <w:i w:val="0"/>
                <w:color w:val="auto"/>
                <w:sz w:val="18"/>
                <w:szCs w:val="18"/>
                <w:vertAlign w:val="superscript"/>
                <w:lang w:eastAsia="zh-CN"/>
              </w:rPr>
              <w:t>a</w:t>
            </w:r>
          </w:p>
        </w:tc>
        <w:tc>
          <w:tcPr>
            <w:tcW w:w="535" w:type="pct"/>
            <w:shd w:val="clear" w:color="auto" w:fill="FFFFFF"/>
            <w:noWrap w:val="0"/>
            <w:vAlign w:val="center"/>
          </w:tcPr>
          <w:p w14:paraId="11940806">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001</w:t>
            </w:r>
          </w:p>
        </w:tc>
      </w:tr>
      <w:tr w14:paraId="1DEB0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57" w:type="pct"/>
            <w:shd w:val="clear" w:color="auto" w:fill="FFFFFF"/>
            <w:noWrap w:val="0"/>
            <w:vAlign w:val="center"/>
          </w:tcPr>
          <w:p w14:paraId="57E4E87E">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盆骨宽（</w:t>
            </w:r>
            <w:r>
              <w:rPr>
                <w:rFonts w:hint="eastAsia" w:ascii="Times New Roman" w:hAnsi="Times New Roman"/>
                <w:b w:val="0"/>
                <w:i w:val="0"/>
                <w:color w:val="auto"/>
                <w:sz w:val="18"/>
                <w:szCs w:val="18"/>
                <w:vertAlign w:val="baseline"/>
                <w:lang w:val="en-US" w:eastAsia="zh-CN"/>
              </w:rPr>
              <w:t>cm</w:t>
            </w:r>
            <w:r>
              <w:rPr>
                <w:rFonts w:hint="eastAsia" w:ascii="Times New Roman" w:hAnsi="Times New Roman"/>
                <w:b w:val="0"/>
                <w:color w:val="auto"/>
                <w:sz w:val="18"/>
                <w:szCs w:val="18"/>
                <w:vertAlign w:val="baseline"/>
                <w:lang w:val="en-US" w:eastAsia="zh-CN"/>
              </w:rPr>
              <w:t>）</w:t>
            </w:r>
          </w:p>
        </w:tc>
        <w:tc>
          <w:tcPr>
            <w:tcW w:w="785" w:type="pct"/>
            <w:shd w:val="clear" w:color="auto" w:fill="FFFFFF"/>
            <w:noWrap w:val="0"/>
            <w:vAlign w:val="center"/>
          </w:tcPr>
          <w:p w14:paraId="2BE870DD">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3</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85</w:t>
            </w:r>
            <w:r>
              <w:rPr>
                <w:rFonts w:hint="default" w:ascii="Times New Roman" w:hAnsi="Times New Roman" w:cs="Times New Roman"/>
                <w:b w:val="0"/>
                <w:i w:val="0"/>
                <w:iCs w:val="0"/>
                <w:color w:val="auto"/>
                <w:kern w:val="0"/>
                <w:sz w:val="18"/>
                <w:szCs w:val="18"/>
                <w:u w:val="none"/>
                <w:lang w:val="en-US" w:eastAsia="zh-CN" w:bidi="ar"/>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16</w:t>
            </w:r>
            <w:r>
              <w:rPr>
                <w:rFonts w:hint="default" w:ascii="Times New Roman" w:hAnsi="Times New Roman"/>
                <w:b w:val="0"/>
                <w:i w:val="0"/>
                <w:color w:val="auto"/>
                <w:sz w:val="18"/>
                <w:szCs w:val="18"/>
                <w:vertAlign w:val="superscript"/>
                <w:lang w:eastAsia="zh-CN"/>
              </w:rPr>
              <w:t>b</w:t>
            </w:r>
          </w:p>
        </w:tc>
        <w:tc>
          <w:tcPr>
            <w:tcW w:w="736" w:type="pct"/>
            <w:shd w:val="clear" w:color="auto" w:fill="FFFFFF"/>
            <w:noWrap w:val="0"/>
            <w:vAlign w:val="center"/>
          </w:tcPr>
          <w:p w14:paraId="28FB237F">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4</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22</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17</w:t>
            </w:r>
            <w:r>
              <w:rPr>
                <w:rFonts w:hint="default" w:ascii="Times New Roman" w:hAnsi="Times New Roman"/>
                <w:b w:val="0"/>
                <w:i w:val="0"/>
                <w:color w:val="auto"/>
                <w:sz w:val="18"/>
                <w:szCs w:val="18"/>
                <w:vertAlign w:val="superscript"/>
                <w:lang w:eastAsia="zh-CN"/>
              </w:rPr>
              <w:t>a</w:t>
            </w:r>
          </w:p>
        </w:tc>
        <w:tc>
          <w:tcPr>
            <w:tcW w:w="822" w:type="pct"/>
            <w:shd w:val="clear" w:color="auto" w:fill="FFFFFF"/>
            <w:noWrap w:val="0"/>
            <w:vAlign w:val="center"/>
          </w:tcPr>
          <w:p w14:paraId="1BF06858">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4</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33</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21</w:t>
            </w:r>
            <w:r>
              <w:rPr>
                <w:rFonts w:hint="default" w:ascii="Times New Roman" w:hAnsi="Times New Roman"/>
                <w:b w:val="0"/>
                <w:i w:val="0"/>
                <w:color w:val="auto"/>
                <w:sz w:val="18"/>
                <w:szCs w:val="18"/>
                <w:vertAlign w:val="superscript"/>
                <w:lang w:eastAsia="zh-CN"/>
              </w:rPr>
              <w:t>a</w:t>
            </w:r>
          </w:p>
        </w:tc>
        <w:tc>
          <w:tcPr>
            <w:tcW w:w="744" w:type="pct"/>
            <w:shd w:val="clear" w:color="auto" w:fill="FFFFFF"/>
            <w:noWrap w:val="0"/>
            <w:vAlign w:val="center"/>
          </w:tcPr>
          <w:p w14:paraId="2F17A484">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4</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28</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13</w:t>
            </w:r>
            <w:r>
              <w:rPr>
                <w:rFonts w:hint="default" w:ascii="Times New Roman" w:hAnsi="Times New Roman"/>
                <w:b w:val="0"/>
                <w:i w:val="0"/>
                <w:color w:val="auto"/>
                <w:sz w:val="18"/>
                <w:szCs w:val="18"/>
                <w:vertAlign w:val="superscript"/>
                <w:lang w:eastAsia="zh-CN"/>
              </w:rPr>
              <w:t>a</w:t>
            </w:r>
          </w:p>
        </w:tc>
        <w:tc>
          <w:tcPr>
            <w:tcW w:w="717" w:type="pct"/>
            <w:shd w:val="clear" w:color="auto" w:fill="FFFFFF"/>
            <w:noWrap w:val="0"/>
            <w:vAlign w:val="center"/>
          </w:tcPr>
          <w:p w14:paraId="404B143E">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i w:val="0"/>
                <w:color w:val="auto"/>
                <w:sz w:val="18"/>
                <w:szCs w:val="18"/>
                <w:vertAlign w:val="baseline"/>
                <w:lang w:val="en-US" w:eastAsia="zh-CN"/>
              </w:rPr>
              <w:t>4</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33</w:t>
            </w:r>
            <w:r>
              <w:rPr>
                <w:rFonts w:hint="default" w:ascii="Times New Roman" w:hAnsi="Times New Roman" w:cs="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11</w:t>
            </w:r>
            <w:r>
              <w:rPr>
                <w:rFonts w:hint="default" w:ascii="Times New Roman" w:hAnsi="Times New Roman"/>
                <w:b w:val="0"/>
                <w:i w:val="0"/>
                <w:color w:val="auto"/>
                <w:sz w:val="18"/>
                <w:szCs w:val="18"/>
                <w:vertAlign w:val="superscript"/>
                <w:lang w:eastAsia="zh-CN"/>
              </w:rPr>
              <w:t>a</w:t>
            </w:r>
          </w:p>
        </w:tc>
        <w:tc>
          <w:tcPr>
            <w:tcW w:w="535" w:type="pct"/>
            <w:shd w:val="clear" w:color="auto" w:fill="FFFFFF"/>
            <w:noWrap w:val="0"/>
            <w:vAlign w:val="center"/>
          </w:tcPr>
          <w:p w14:paraId="67900B60">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b w:val="0"/>
                <w:color w:val="auto"/>
                <w:sz w:val="18"/>
                <w:szCs w:val="18"/>
                <w:vertAlign w:val="baseline"/>
                <w:lang w:val="en-US" w:eastAsia="zh-CN"/>
              </w:rPr>
            </w:pP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w:t>
            </w:r>
            <w:r>
              <w:rPr>
                <w:rFonts w:hint="eastAsia" w:ascii="Times New Roman" w:hAnsi="Times New Roman"/>
                <w:b w:val="0"/>
                <w:color w:val="auto"/>
                <w:sz w:val="18"/>
                <w:szCs w:val="18"/>
                <w:vertAlign w:val="baseline"/>
                <w:lang w:val="en-US" w:eastAsia="zh-CN"/>
              </w:rPr>
              <w:t>.</w:t>
            </w:r>
            <w:r>
              <w:rPr>
                <w:rFonts w:hint="eastAsia" w:ascii="Times New Roman" w:hAnsi="Times New Roman"/>
                <w:b w:val="0"/>
                <w:i w:val="0"/>
                <w:color w:val="auto"/>
                <w:sz w:val="18"/>
                <w:szCs w:val="18"/>
                <w:vertAlign w:val="baseline"/>
                <w:lang w:val="en-US" w:eastAsia="zh-CN"/>
              </w:rPr>
              <w:t>001</w:t>
            </w:r>
          </w:p>
        </w:tc>
      </w:tr>
    </w:tbl>
    <w:p w14:paraId="7ACE48D1">
      <w:pPr>
        <w:keepNext w:val="0"/>
        <w:keepLines w:val="0"/>
        <w:pageBreakBefore w:val="0"/>
        <w:widowControl/>
        <w:suppressLineNumbers w:val="0"/>
        <w:kinsoku/>
        <w:wordWrap/>
        <w:overflowPunct/>
        <w:topLinePunct w:val="0"/>
        <w:autoSpaceDE/>
        <w:autoSpaceDN/>
        <w:bidi w:val="0"/>
        <w:adjustRightInd/>
        <w:snapToGrid/>
        <w:spacing w:before="313" w:beforeLines="100"/>
        <w:jc w:val="center"/>
        <w:textAlignment w:val="auto"/>
        <w:rPr>
          <w:rFonts w:hint="default"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eastAsia="zh-CN"/>
        </w:rPr>
        <w:t>表</w:t>
      </w:r>
      <w:r>
        <w:rPr>
          <w:rFonts w:hint="eastAsia" w:ascii="仿宋_GB2312" w:hAnsi="仿宋_GB2312" w:eastAsia="仿宋_GB2312" w:cs="仿宋_GB2312"/>
          <w:color w:val="auto"/>
          <w:sz w:val="24"/>
          <w:szCs w:val="24"/>
          <w:lang w:val="en-US" w:eastAsia="zh-CN"/>
        </w:rPr>
        <w:t xml:space="preserve">2 </w:t>
      </w:r>
      <w:r>
        <w:rPr>
          <w:rFonts w:hint="eastAsia" w:ascii="仿宋_GB2312" w:hAnsi="仿宋_GB2312" w:eastAsia="仿宋_GB2312" w:cs="仿宋_GB2312"/>
          <w:color w:val="auto"/>
          <w:sz w:val="24"/>
          <w:szCs w:val="24"/>
          <w:lang w:eastAsia="zh-CN"/>
        </w:rPr>
        <w:t>饲粮不同粗蛋白水平对七百弄</w:t>
      </w:r>
      <w:r>
        <w:rPr>
          <w:rFonts w:hint="eastAsia" w:ascii="仿宋_GB2312" w:hAnsi="仿宋_GB2312" w:cs="仿宋_GB2312"/>
          <w:color w:val="auto"/>
          <w:sz w:val="24"/>
          <w:szCs w:val="24"/>
          <w:lang w:val="en-US" w:eastAsia="zh-CN"/>
        </w:rPr>
        <w:t>种鸡</w:t>
      </w:r>
      <w:r>
        <w:rPr>
          <w:rFonts w:hint="eastAsia" w:ascii="仿宋_GB2312" w:hAnsi="仿宋_GB2312" w:eastAsia="仿宋_GB2312" w:cs="仿宋_GB2312"/>
          <w:color w:val="auto"/>
          <w:sz w:val="24"/>
          <w:szCs w:val="24"/>
          <w:lang w:eastAsia="zh-CN"/>
        </w:rPr>
        <w:t>母鸡1</w:t>
      </w:r>
      <w:r>
        <w:rPr>
          <w:rFonts w:hint="eastAsia" w:ascii="仿宋_GB2312" w:hAnsi="仿宋_GB2312" w:eastAsia="仿宋_GB2312" w:cs="仿宋_GB2312"/>
          <w:color w:val="auto"/>
          <w:sz w:val="24"/>
          <w:szCs w:val="24"/>
          <w:lang w:val="en-US" w:eastAsia="zh-CN"/>
        </w:rPr>
        <w:t>～</w:t>
      </w:r>
      <w:r>
        <w:rPr>
          <w:rFonts w:hint="eastAsia" w:ascii="仿宋_GB2312" w:hAnsi="仿宋_GB2312" w:eastAsia="仿宋_GB2312" w:cs="仿宋_GB2312"/>
          <w:color w:val="auto"/>
          <w:sz w:val="24"/>
          <w:szCs w:val="24"/>
          <w:lang w:eastAsia="zh-CN"/>
        </w:rPr>
        <w:t>30日龄肠道组织形态的影响</w:t>
      </w:r>
    </w:p>
    <w:tbl>
      <w:tblPr>
        <w:tblStyle w:val="8"/>
        <w:tblW w:w="502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1"/>
        <w:gridCol w:w="1453"/>
        <w:gridCol w:w="1488"/>
        <w:gridCol w:w="1465"/>
        <w:gridCol w:w="1532"/>
        <w:gridCol w:w="1443"/>
        <w:gridCol w:w="857"/>
      </w:tblGrid>
      <w:tr w14:paraId="12D64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vMerge w:val="restart"/>
            <w:tcBorders>
              <w:tl2br w:val="nil"/>
            </w:tcBorders>
            <w:shd w:val="clear" w:color="auto" w:fill="FFFFFF"/>
            <w:noWrap w:val="0"/>
            <w:vAlign w:val="center"/>
          </w:tcPr>
          <w:p w14:paraId="66B4E571">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项目</w:t>
            </w:r>
          </w:p>
        </w:tc>
        <w:tc>
          <w:tcPr>
            <w:tcW w:w="3998" w:type="pct"/>
            <w:gridSpan w:val="5"/>
            <w:shd w:val="clear" w:color="auto" w:fill="FFFFFF"/>
            <w:noWrap w:val="0"/>
            <w:vAlign w:val="center"/>
          </w:tcPr>
          <w:p w14:paraId="32472066">
            <w:pPr>
              <w:keepNext w:val="0"/>
              <w:keepLines w:val="0"/>
              <w:pageBreakBefore w:val="0"/>
              <w:tabs>
                <w:tab w:val="left" w:pos="245"/>
              </w:tabs>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cs="宋体"/>
                <w:b w:val="0"/>
                <w:i/>
                <w:color w:val="auto"/>
                <w:sz w:val="18"/>
                <w:szCs w:val="18"/>
                <w:vertAlign w:val="baseline"/>
                <w:lang w:val="en-US" w:eastAsia="zh-CN"/>
              </w:rPr>
            </w:pPr>
            <w:r>
              <w:rPr>
                <w:rFonts w:hint="default" w:ascii="Times New Roman" w:hAnsi="Times New Roman" w:cs="Times New Roman"/>
                <w:b w:val="0"/>
                <w:i w:val="0"/>
                <w:color w:val="auto"/>
                <w:sz w:val="18"/>
                <w:szCs w:val="18"/>
                <w:vertAlign w:val="baseline"/>
                <w:lang w:val="en-US" w:eastAsia="zh-CN"/>
              </w:rPr>
              <w:t>CP</w:t>
            </w:r>
            <w:r>
              <w:rPr>
                <w:rFonts w:hint="default" w:ascii="Times New Roman" w:hAnsi="Times New Roman" w:cs="Times New Roman"/>
                <w:b w:val="0"/>
                <w:color w:val="auto"/>
                <w:sz w:val="18"/>
                <w:szCs w:val="18"/>
                <w:vertAlign w:val="baseline"/>
                <w:lang w:val="en-US" w:eastAsia="zh-CN"/>
              </w:rPr>
              <w:t>%</w:t>
            </w:r>
          </w:p>
        </w:tc>
        <w:tc>
          <w:tcPr>
            <w:tcW w:w="464" w:type="pct"/>
            <w:vMerge w:val="restart"/>
            <w:shd w:val="clear" w:color="auto" w:fill="FFFFFF"/>
            <w:noWrap w:val="0"/>
            <w:vAlign w:val="center"/>
          </w:tcPr>
          <w:p w14:paraId="64CA420C">
            <w:pPr>
              <w:keepNext w:val="0"/>
              <w:keepLines w:val="0"/>
              <w:pageBreakBefore w:val="0"/>
              <w:tabs>
                <w:tab w:val="left" w:pos="245"/>
              </w:tabs>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宋体"/>
                <w:b w:val="0"/>
                <w:color w:val="auto"/>
                <w:sz w:val="18"/>
                <w:szCs w:val="18"/>
                <w:vertAlign w:val="baseline"/>
                <w:lang w:val="en-US" w:eastAsia="zh-CN"/>
              </w:rPr>
            </w:pPr>
            <w:r>
              <w:rPr>
                <w:rFonts w:hint="eastAsia" w:ascii="Times New Roman" w:hAnsi="Times New Roman" w:cs="宋体"/>
                <w:b w:val="0"/>
                <w:i/>
                <w:color w:val="auto"/>
                <w:sz w:val="18"/>
                <w:szCs w:val="18"/>
                <w:vertAlign w:val="baseline"/>
                <w:lang w:val="en-US" w:eastAsia="zh-CN"/>
              </w:rPr>
              <w:t>P</w:t>
            </w:r>
            <w:r>
              <w:rPr>
                <w:rFonts w:hint="eastAsia" w:ascii="Times New Roman" w:hAnsi="Times New Roman" w:eastAsia="宋体" w:cs="宋体"/>
                <w:b w:val="0"/>
                <w:color w:val="auto"/>
                <w:sz w:val="18"/>
                <w:szCs w:val="18"/>
                <w:vertAlign w:val="baseline"/>
                <w:lang w:val="en-US" w:eastAsia="zh-CN"/>
              </w:rPr>
              <w:t>值</w:t>
            </w:r>
          </w:p>
        </w:tc>
      </w:tr>
      <w:tr w14:paraId="44C3D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vMerge w:val="continue"/>
            <w:tcBorders>
              <w:tl2br w:val="nil"/>
            </w:tcBorders>
            <w:shd w:val="clear" w:color="auto" w:fill="FFFFFF"/>
            <w:noWrap w:val="0"/>
            <w:vAlign w:val="center"/>
          </w:tcPr>
          <w:p w14:paraId="54345B49">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宋体"/>
                <w:b w:val="0"/>
                <w:color w:val="auto"/>
                <w:sz w:val="18"/>
                <w:szCs w:val="18"/>
                <w:vertAlign w:val="baseline"/>
                <w:lang w:val="en-US" w:eastAsia="zh-CN"/>
              </w:rPr>
            </w:pPr>
          </w:p>
        </w:tc>
        <w:tc>
          <w:tcPr>
            <w:tcW w:w="787" w:type="pct"/>
            <w:shd w:val="clear" w:color="auto" w:fill="FFFFFF"/>
            <w:noWrap w:val="0"/>
            <w:vAlign w:val="center"/>
          </w:tcPr>
          <w:p w14:paraId="50AE4B77">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宋体"/>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1</w:t>
            </w:r>
            <w:r>
              <w:rPr>
                <w:rFonts w:hint="default" w:ascii="Times New Roman" w:hAnsi="Times New Roman" w:cs="Times New Roman"/>
                <w:b w:val="0"/>
                <w:i w:val="0"/>
                <w:color w:val="auto"/>
                <w:sz w:val="18"/>
                <w:szCs w:val="18"/>
                <w:vertAlign w:val="baseline"/>
                <w:lang w:val="en-US" w:eastAsia="zh-CN"/>
              </w:rPr>
              <w:t>8</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92</w:t>
            </w:r>
            <w:r>
              <w:rPr>
                <w:rFonts w:hint="default" w:ascii="Times New Roman" w:hAnsi="Times New Roman" w:cs="Times New Roman"/>
                <w:b w:val="0"/>
                <w:color w:val="auto"/>
                <w:sz w:val="18"/>
                <w:szCs w:val="18"/>
                <w:vertAlign w:val="baseline"/>
                <w:lang w:eastAsia="zh-CN"/>
              </w:rPr>
              <w:t>%</w:t>
            </w:r>
          </w:p>
        </w:tc>
        <w:tc>
          <w:tcPr>
            <w:tcW w:w="806" w:type="pct"/>
            <w:shd w:val="clear" w:color="auto" w:fill="FFFFFF"/>
            <w:noWrap w:val="0"/>
            <w:vAlign w:val="center"/>
          </w:tcPr>
          <w:p w14:paraId="10693459">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宋体"/>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20</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05</w:t>
            </w:r>
            <w:r>
              <w:rPr>
                <w:rFonts w:hint="default" w:ascii="Times New Roman" w:hAnsi="Times New Roman" w:cs="Times New Roman"/>
                <w:b w:val="0"/>
                <w:color w:val="auto"/>
                <w:sz w:val="18"/>
                <w:szCs w:val="18"/>
                <w:vertAlign w:val="baseline"/>
                <w:lang w:eastAsia="zh-CN"/>
              </w:rPr>
              <w:t>%</w:t>
            </w:r>
          </w:p>
        </w:tc>
        <w:tc>
          <w:tcPr>
            <w:tcW w:w="793" w:type="pct"/>
            <w:shd w:val="clear" w:color="auto" w:fill="FFFFFF"/>
            <w:noWrap w:val="0"/>
            <w:vAlign w:val="center"/>
          </w:tcPr>
          <w:p w14:paraId="1C1FBEF5">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宋体"/>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w:t>
            </w:r>
            <w:r>
              <w:rPr>
                <w:rFonts w:hint="default" w:ascii="Times New Roman" w:hAnsi="Times New Roman" w:cs="Times New Roman"/>
                <w:b w:val="0"/>
                <w:i w:val="0"/>
                <w:color w:val="auto"/>
                <w:sz w:val="18"/>
                <w:szCs w:val="18"/>
                <w:vertAlign w:val="baseline"/>
                <w:lang w:val="en-US" w:eastAsia="zh-CN"/>
              </w:rPr>
              <w:t>0</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98</w:t>
            </w:r>
            <w:r>
              <w:rPr>
                <w:rFonts w:hint="default" w:ascii="Times New Roman" w:hAnsi="Times New Roman" w:cs="Times New Roman"/>
                <w:b w:val="0"/>
                <w:color w:val="auto"/>
                <w:sz w:val="18"/>
                <w:szCs w:val="18"/>
                <w:vertAlign w:val="baseline"/>
                <w:lang w:eastAsia="zh-CN"/>
              </w:rPr>
              <w:t>%</w:t>
            </w:r>
          </w:p>
        </w:tc>
        <w:tc>
          <w:tcPr>
            <w:tcW w:w="829" w:type="pct"/>
            <w:shd w:val="clear" w:color="auto" w:fill="FFFFFF"/>
            <w:noWrap w:val="0"/>
            <w:vAlign w:val="center"/>
          </w:tcPr>
          <w:p w14:paraId="73E5A25A">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宋体"/>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w:t>
            </w:r>
            <w:r>
              <w:rPr>
                <w:rFonts w:hint="default" w:ascii="Times New Roman" w:hAnsi="Times New Roman" w:cs="Times New Roman"/>
                <w:b w:val="0"/>
                <w:i w:val="0"/>
                <w:color w:val="auto"/>
                <w:sz w:val="18"/>
                <w:szCs w:val="18"/>
                <w:vertAlign w:val="baseline"/>
                <w:lang w:val="en-US" w:eastAsia="zh-CN"/>
              </w:rPr>
              <w:t>1</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75</w:t>
            </w:r>
            <w:r>
              <w:rPr>
                <w:rFonts w:hint="default" w:ascii="Times New Roman" w:hAnsi="Times New Roman" w:cs="Times New Roman"/>
                <w:b w:val="0"/>
                <w:color w:val="auto"/>
                <w:sz w:val="18"/>
                <w:szCs w:val="18"/>
                <w:vertAlign w:val="baseline"/>
                <w:lang w:eastAsia="zh-CN"/>
              </w:rPr>
              <w:t>%</w:t>
            </w:r>
          </w:p>
        </w:tc>
        <w:tc>
          <w:tcPr>
            <w:tcW w:w="781" w:type="pct"/>
            <w:shd w:val="clear" w:color="auto" w:fill="FFFFFF"/>
            <w:noWrap w:val="0"/>
            <w:vAlign w:val="center"/>
          </w:tcPr>
          <w:p w14:paraId="2051714B">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eastAsia" w:ascii="Times New Roman" w:hAnsi="Times New Roman" w:eastAsia="宋体" w:cs="宋体"/>
                <w:b w:val="0"/>
                <w:color w:val="auto"/>
                <w:sz w:val="18"/>
                <w:szCs w:val="18"/>
                <w:vertAlign w:val="baseline"/>
                <w:lang w:eastAsia="zh-CN"/>
              </w:rPr>
            </w:pPr>
            <w:r>
              <w:rPr>
                <w:rFonts w:hint="default" w:ascii="Times New Roman" w:hAnsi="Times New Roman" w:cs="Times New Roman"/>
                <w:b w:val="0"/>
                <w:i w:val="0"/>
                <w:color w:val="auto"/>
                <w:sz w:val="18"/>
                <w:szCs w:val="18"/>
                <w:vertAlign w:val="baseline"/>
                <w:lang w:eastAsia="zh-CN"/>
              </w:rPr>
              <w:t>2</w:t>
            </w:r>
            <w:r>
              <w:rPr>
                <w:rFonts w:hint="default" w:ascii="Times New Roman" w:hAnsi="Times New Roman" w:cs="Times New Roman"/>
                <w:b w:val="0"/>
                <w:i w:val="0"/>
                <w:color w:val="auto"/>
                <w:sz w:val="18"/>
                <w:szCs w:val="18"/>
                <w:vertAlign w:val="baseline"/>
                <w:lang w:val="en-US" w:eastAsia="zh-CN"/>
              </w:rPr>
              <w:t>2</w:t>
            </w:r>
            <w:r>
              <w:rPr>
                <w:rFonts w:hint="default" w:ascii="Times New Roman" w:hAnsi="Times New Roman" w:cs="Times New Roman"/>
                <w:b w:val="0"/>
                <w:color w:val="auto"/>
                <w:sz w:val="18"/>
                <w:szCs w:val="18"/>
                <w:vertAlign w:val="baseline"/>
                <w:lang w:val="en-US" w:eastAsia="zh-CN"/>
              </w:rPr>
              <w:t>.</w:t>
            </w:r>
            <w:r>
              <w:rPr>
                <w:rFonts w:hint="default" w:ascii="Times New Roman" w:hAnsi="Times New Roman" w:cs="Times New Roman"/>
                <w:b w:val="0"/>
                <w:i w:val="0"/>
                <w:color w:val="auto"/>
                <w:sz w:val="18"/>
                <w:szCs w:val="18"/>
                <w:vertAlign w:val="baseline"/>
                <w:lang w:val="en-US" w:eastAsia="zh-CN"/>
              </w:rPr>
              <w:t>90</w:t>
            </w:r>
            <w:r>
              <w:rPr>
                <w:rFonts w:hint="default" w:ascii="Times New Roman" w:hAnsi="Times New Roman" w:cs="Times New Roman"/>
                <w:b w:val="0"/>
                <w:color w:val="auto"/>
                <w:sz w:val="18"/>
                <w:szCs w:val="18"/>
                <w:vertAlign w:val="baseline"/>
                <w:lang w:eastAsia="zh-CN"/>
              </w:rPr>
              <w:t>%</w:t>
            </w:r>
          </w:p>
        </w:tc>
        <w:tc>
          <w:tcPr>
            <w:tcW w:w="464" w:type="pct"/>
            <w:vMerge w:val="continue"/>
            <w:shd w:val="clear" w:color="auto" w:fill="FFFFFF"/>
            <w:noWrap w:val="0"/>
            <w:vAlign w:val="center"/>
          </w:tcPr>
          <w:p w14:paraId="171AC7AD">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p>
        </w:tc>
      </w:tr>
      <w:tr w14:paraId="0B67C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shd w:val="clear" w:color="auto" w:fill="FFFFFF"/>
            <w:noWrap w:val="0"/>
            <w:vAlign w:val="center"/>
          </w:tcPr>
          <w:p w14:paraId="2EB484A6">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十二指肠绒毛长度</w:t>
            </w:r>
          </w:p>
        </w:tc>
        <w:tc>
          <w:tcPr>
            <w:tcW w:w="787" w:type="pct"/>
            <w:shd w:val="clear" w:color="auto" w:fill="FFFFFF"/>
            <w:noWrap w:val="0"/>
            <w:vAlign w:val="center"/>
          </w:tcPr>
          <w:p w14:paraId="24618A92">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1271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34</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115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59</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806" w:type="pct"/>
            <w:shd w:val="clear" w:color="auto" w:fill="FFFFFF"/>
            <w:noWrap w:val="0"/>
            <w:vAlign w:val="center"/>
          </w:tcPr>
          <w:p w14:paraId="70768AD4">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1162</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73</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108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93</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793" w:type="pct"/>
            <w:shd w:val="clear" w:color="auto" w:fill="FFFFFF"/>
            <w:noWrap w:val="0"/>
            <w:vAlign w:val="center"/>
          </w:tcPr>
          <w:p w14:paraId="70A30D51">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1292</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75</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139</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94</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829" w:type="pct"/>
            <w:shd w:val="clear" w:color="auto" w:fill="FFFFFF"/>
            <w:noWrap w:val="0"/>
            <w:vAlign w:val="center"/>
          </w:tcPr>
          <w:p w14:paraId="73C830B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1111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22</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117</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77</w:t>
            </w:r>
            <w:r>
              <w:rPr>
                <w:rFonts w:hint="eastAsia" w:ascii="Times New Roman" w:hAnsi="Times New Roman" w:cs="宋体"/>
                <w:b w:val="0"/>
                <w:i w:val="0"/>
                <w:iCs w:val="0"/>
                <w:color w:val="auto"/>
                <w:kern w:val="0"/>
                <w:sz w:val="18"/>
                <w:szCs w:val="18"/>
                <w:u w:val="none"/>
                <w:vertAlign w:val="superscript"/>
                <w:lang w:val="en-US" w:eastAsia="zh-CN" w:bidi="ar"/>
              </w:rPr>
              <w:t>bc</w:t>
            </w:r>
          </w:p>
        </w:tc>
        <w:tc>
          <w:tcPr>
            <w:tcW w:w="781" w:type="pct"/>
            <w:shd w:val="clear" w:color="auto" w:fill="FFFFFF"/>
            <w:noWrap w:val="0"/>
            <w:vAlign w:val="center"/>
          </w:tcPr>
          <w:p w14:paraId="3A9D738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1053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59</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33</w:t>
            </w:r>
            <w:r>
              <w:rPr>
                <w:rFonts w:hint="eastAsia" w:ascii="Times New Roman" w:hAnsi="Times New Roman" w:cs="宋体"/>
                <w:b w:val="0"/>
                <w:i w:val="0"/>
                <w:iCs w:val="0"/>
                <w:color w:val="auto"/>
                <w:kern w:val="0"/>
                <w:sz w:val="18"/>
                <w:szCs w:val="18"/>
                <w:u w:val="none"/>
                <w:vertAlign w:val="superscript"/>
                <w:lang w:val="en-US" w:eastAsia="zh-CN" w:bidi="ar"/>
              </w:rPr>
              <w:t>c</w:t>
            </w:r>
          </w:p>
        </w:tc>
        <w:tc>
          <w:tcPr>
            <w:tcW w:w="464" w:type="pct"/>
            <w:shd w:val="clear" w:color="auto" w:fill="FFFFFF"/>
            <w:noWrap w:val="0"/>
            <w:vAlign w:val="center"/>
          </w:tcPr>
          <w:p w14:paraId="19149805">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w:t>
            </w: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r w14:paraId="6829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shd w:val="clear" w:color="auto" w:fill="FFFFFF"/>
            <w:noWrap w:val="0"/>
            <w:vAlign w:val="center"/>
          </w:tcPr>
          <w:p w14:paraId="034A5751">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空肠绒毛长度</w:t>
            </w:r>
          </w:p>
        </w:tc>
        <w:tc>
          <w:tcPr>
            <w:tcW w:w="787" w:type="pct"/>
            <w:shd w:val="clear" w:color="auto" w:fill="FFFFFF"/>
            <w:noWrap w:val="0"/>
            <w:vAlign w:val="center"/>
          </w:tcPr>
          <w:p w14:paraId="0A0EBB19">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922</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31</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67</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06" w:type="pct"/>
            <w:shd w:val="clear" w:color="auto" w:fill="FFFFFF"/>
            <w:noWrap w:val="0"/>
            <w:vAlign w:val="center"/>
          </w:tcPr>
          <w:p w14:paraId="20A112B6">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1013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66</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793" w:type="pct"/>
            <w:shd w:val="clear" w:color="auto" w:fill="FFFFFF"/>
            <w:noWrap w:val="0"/>
            <w:vAlign w:val="center"/>
          </w:tcPr>
          <w:p w14:paraId="538381D6">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vertAlign w:val="superscript"/>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770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84</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120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51</w:t>
            </w:r>
            <w:r>
              <w:rPr>
                <w:rFonts w:hint="eastAsia" w:ascii="Times New Roman" w:hAnsi="Times New Roman" w:cs="宋体"/>
                <w:b w:val="0"/>
                <w:i w:val="0"/>
                <w:iCs w:val="0"/>
                <w:color w:val="auto"/>
                <w:kern w:val="0"/>
                <w:sz w:val="18"/>
                <w:szCs w:val="18"/>
                <w:u w:val="none"/>
                <w:vertAlign w:val="superscript"/>
                <w:lang w:val="en-US" w:eastAsia="zh-CN" w:bidi="ar"/>
              </w:rPr>
              <w:t>d</w:t>
            </w:r>
          </w:p>
        </w:tc>
        <w:tc>
          <w:tcPr>
            <w:tcW w:w="829" w:type="pct"/>
            <w:shd w:val="clear" w:color="auto" w:fill="FFFFFF"/>
            <w:noWrap w:val="0"/>
            <w:vAlign w:val="center"/>
          </w:tcPr>
          <w:p w14:paraId="39F52745">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893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93</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135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89</w:t>
            </w:r>
            <w:r>
              <w:rPr>
                <w:rFonts w:hint="eastAsia" w:ascii="Times New Roman" w:hAnsi="Times New Roman" w:cs="宋体"/>
                <w:b w:val="0"/>
                <w:i w:val="0"/>
                <w:iCs w:val="0"/>
                <w:color w:val="auto"/>
                <w:kern w:val="0"/>
                <w:sz w:val="18"/>
                <w:szCs w:val="18"/>
                <w:u w:val="none"/>
                <w:vertAlign w:val="superscript"/>
                <w:lang w:val="en-US" w:eastAsia="zh-CN" w:bidi="ar"/>
              </w:rPr>
              <w:t>bc</w:t>
            </w:r>
          </w:p>
        </w:tc>
        <w:tc>
          <w:tcPr>
            <w:tcW w:w="781" w:type="pct"/>
            <w:shd w:val="clear" w:color="auto" w:fill="FFFFFF"/>
            <w:noWrap w:val="0"/>
            <w:vAlign w:val="center"/>
          </w:tcPr>
          <w:p w14:paraId="0411A6BD">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853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72</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148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54</w:t>
            </w:r>
            <w:r>
              <w:rPr>
                <w:rFonts w:hint="eastAsia" w:ascii="Times New Roman" w:hAnsi="Times New Roman" w:cs="宋体"/>
                <w:b w:val="0"/>
                <w:i w:val="0"/>
                <w:iCs w:val="0"/>
                <w:color w:val="auto"/>
                <w:kern w:val="0"/>
                <w:sz w:val="18"/>
                <w:szCs w:val="18"/>
                <w:u w:val="none"/>
                <w:vertAlign w:val="superscript"/>
                <w:lang w:val="en-US" w:eastAsia="zh-CN" w:bidi="ar"/>
              </w:rPr>
              <w:t>c</w:t>
            </w:r>
          </w:p>
        </w:tc>
        <w:tc>
          <w:tcPr>
            <w:tcW w:w="464" w:type="pct"/>
            <w:shd w:val="clear" w:color="auto" w:fill="FFFFFF"/>
            <w:noWrap w:val="0"/>
            <w:vAlign w:val="center"/>
          </w:tcPr>
          <w:p w14:paraId="6580A54D">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w:t>
            </w: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r w14:paraId="19DE0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shd w:val="clear" w:color="auto" w:fill="FFFFFF"/>
            <w:noWrap w:val="0"/>
            <w:vAlign w:val="center"/>
          </w:tcPr>
          <w:p w14:paraId="290554A0">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回肠绒毛长度</w:t>
            </w:r>
          </w:p>
        </w:tc>
        <w:tc>
          <w:tcPr>
            <w:tcW w:w="787" w:type="pct"/>
            <w:shd w:val="clear" w:color="auto" w:fill="FFFFFF"/>
            <w:noWrap w:val="0"/>
            <w:vAlign w:val="center"/>
          </w:tcPr>
          <w:p w14:paraId="27A13ABC">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656</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49</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114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81</w:t>
            </w:r>
            <w:r>
              <w:rPr>
                <w:rFonts w:hint="eastAsia" w:ascii="Times New Roman" w:hAnsi="Times New Roman" w:cs="宋体"/>
                <w:b w:val="0"/>
                <w:i w:val="0"/>
                <w:iCs w:val="0"/>
                <w:color w:val="auto"/>
                <w:kern w:val="0"/>
                <w:sz w:val="18"/>
                <w:szCs w:val="18"/>
                <w:u w:val="none"/>
                <w:vertAlign w:val="superscript"/>
                <w:lang w:val="en-US" w:eastAsia="zh-CN" w:bidi="ar"/>
              </w:rPr>
              <w:t>ab</w:t>
            </w:r>
          </w:p>
        </w:tc>
        <w:tc>
          <w:tcPr>
            <w:tcW w:w="806" w:type="pct"/>
            <w:shd w:val="clear" w:color="auto" w:fill="FFFFFF"/>
            <w:noWrap w:val="0"/>
            <w:vAlign w:val="center"/>
          </w:tcPr>
          <w:p w14:paraId="2EF0B9B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658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58</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134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36</w:t>
            </w:r>
            <w:r>
              <w:rPr>
                <w:rFonts w:hint="eastAsia" w:ascii="Times New Roman" w:hAnsi="Times New Roman" w:cs="宋体"/>
                <w:b w:val="0"/>
                <w:i w:val="0"/>
                <w:iCs w:val="0"/>
                <w:color w:val="auto"/>
                <w:kern w:val="0"/>
                <w:sz w:val="18"/>
                <w:szCs w:val="18"/>
                <w:u w:val="none"/>
                <w:vertAlign w:val="superscript"/>
                <w:lang w:val="en-US" w:eastAsia="zh-CN" w:bidi="ar"/>
              </w:rPr>
              <w:t>ab</w:t>
            </w:r>
          </w:p>
        </w:tc>
        <w:tc>
          <w:tcPr>
            <w:tcW w:w="793" w:type="pct"/>
            <w:shd w:val="clear" w:color="auto" w:fill="FFFFFF"/>
            <w:noWrap w:val="0"/>
            <w:vAlign w:val="center"/>
          </w:tcPr>
          <w:p w14:paraId="53EA0F44">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602</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05</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103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84</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29" w:type="pct"/>
            <w:shd w:val="clear" w:color="auto" w:fill="FFFFFF"/>
            <w:noWrap w:val="0"/>
            <w:vAlign w:val="center"/>
          </w:tcPr>
          <w:p w14:paraId="09A020B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678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72</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102</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04</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781" w:type="pct"/>
            <w:shd w:val="clear" w:color="auto" w:fill="FFFFFF"/>
            <w:noWrap w:val="0"/>
            <w:vAlign w:val="center"/>
          </w:tcPr>
          <w:p w14:paraId="5C2C938A">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597</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27</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171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32</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464" w:type="pct"/>
            <w:shd w:val="clear" w:color="auto" w:fill="FFFFFF"/>
            <w:noWrap w:val="0"/>
            <w:vAlign w:val="center"/>
          </w:tcPr>
          <w:p w14:paraId="000885C5">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i w:val="0"/>
                <w:color w:val="auto"/>
                <w:sz w:val="18"/>
                <w:szCs w:val="18"/>
                <w:vertAlign w:val="baseline"/>
                <w:lang w:val="en-US" w:eastAsia="zh-CN"/>
              </w:rPr>
              <w:t>0</w:t>
            </w: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048</w:t>
            </w:r>
          </w:p>
        </w:tc>
      </w:tr>
      <w:tr w14:paraId="6177B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shd w:val="clear" w:color="auto" w:fill="FFFFFF"/>
            <w:noWrap w:val="0"/>
            <w:vAlign w:val="center"/>
          </w:tcPr>
          <w:p w14:paraId="3FB6D0E2">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十二指肠隐窝深度</w:t>
            </w:r>
          </w:p>
        </w:tc>
        <w:tc>
          <w:tcPr>
            <w:tcW w:w="787" w:type="pct"/>
            <w:shd w:val="clear" w:color="auto" w:fill="FFFFFF"/>
            <w:noWrap w:val="0"/>
            <w:vAlign w:val="center"/>
          </w:tcPr>
          <w:p w14:paraId="6C153E38">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227</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32</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46</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67</w:t>
            </w:r>
            <w:r>
              <w:rPr>
                <w:rFonts w:hint="eastAsia" w:ascii="Times New Roman" w:hAnsi="Times New Roman" w:cs="宋体"/>
                <w:b w:val="0"/>
                <w:i w:val="0"/>
                <w:iCs w:val="0"/>
                <w:color w:val="auto"/>
                <w:kern w:val="0"/>
                <w:sz w:val="18"/>
                <w:szCs w:val="18"/>
                <w:u w:val="none"/>
                <w:vertAlign w:val="superscript"/>
                <w:lang w:val="en-US" w:eastAsia="zh-CN" w:bidi="ar"/>
              </w:rPr>
              <w:t>c</w:t>
            </w:r>
          </w:p>
        </w:tc>
        <w:tc>
          <w:tcPr>
            <w:tcW w:w="806" w:type="pct"/>
            <w:shd w:val="clear" w:color="auto" w:fill="FFFFFF"/>
            <w:noWrap w:val="0"/>
            <w:vAlign w:val="center"/>
          </w:tcPr>
          <w:p w14:paraId="2B3CD4A5">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238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99</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98</w:t>
            </w:r>
            <w:r>
              <w:rPr>
                <w:rFonts w:hint="eastAsia" w:ascii="Times New Roman" w:hAnsi="Times New Roman" w:cs="宋体"/>
                <w:b w:val="0"/>
                <w:i w:val="0"/>
                <w:iCs w:val="0"/>
                <w:color w:val="auto"/>
                <w:kern w:val="0"/>
                <w:sz w:val="18"/>
                <w:szCs w:val="18"/>
                <w:u w:val="none"/>
                <w:vertAlign w:val="superscript"/>
                <w:lang w:val="en-US" w:eastAsia="zh-CN" w:bidi="ar"/>
              </w:rPr>
              <w:t>bc</w:t>
            </w:r>
          </w:p>
        </w:tc>
        <w:tc>
          <w:tcPr>
            <w:tcW w:w="793" w:type="pct"/>
            <w:shd w:val="clear" w:color="auto" w:fill="FFFFFF"/>
            <w:noWrap w:val="0"/>
            <w:vAlign w:val="center"/>
          </w:tcPr>
          <w:p w14:paraId="5AF8A3A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255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51</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39</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92</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29" w:type="pct"/>
            <w:shd w:val="clear" w:color="auto" w:fill="FFFFFF"/>
            <w:noWrap w:val="0"/>
            <w:vAlign w:val="center"/>
          </w:tcPr>
          <w:p w14:paraId="6339C63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vertAlign w:val="superscript"/>
                <w:lang w:val="en-US" w:eastAsia="zh-CN" w:bidi="ar"/>
              </w:rPr>
            </w:pPr>
            <w:r>
              <w:rPr>
                <w:rFonts w:hint="eastAsia" w:ascii="Times New Roman" w:hAnsi="Times New Roman" w:eastAsia="宋体" w:cs="宋体"/>
                <w:b w:val="0"/>
                <w:i w:val="0"/>
                <w:iCs w:val="0"/>
                <w:color w:val="auto"/>
                <w:kern w:val="0"/>
                <w:sz w:val="18"/>
                <w:szCs w:val="18"/>
                <w:u w:val="none"/>
                <w:vertAlign w:val="baseline"/>
                <w:lang w:val="en-US" w:eastAsia="zh-CN" w:bidi="ar"/>
              </w:rPr>
              <w:t>306</w:t>
            </w:r>
            <w:r>
              <w:rPr>
                <w:rFonts w:hint="eastAsia" w:ascii="Times New Roman" w:hAnsi="Times New Roman" w:eastAsia="宋体" w:cs="宋体"/>
                <w:i w:val="0"/>
                <w:iCs w:val="0"/>
                <w:color w:val="auto"/>
                <w:kern w:val="0"/>
                <w:sz w:val="18"/>
                <w:szCs w:val="18"/>
                <w:u w:val="none"/>
                <w:vertAlign w:val="baseline"/>
                <w:lang w:val="en-US" w:eastAsia="zh-CN" w:bidi="ar"/>
              </w:rPr>
              <w:t>.</w:t>
            </w:r>
            <w:r>
              <w:rPr>
                <w:rFonts w:hint="eastAsia" w:ascii="Times New Roman" w:hAnsi="Times New Roman" w:eastAsia="宋体" w:cs="宋体"/>
                <w:b w:val="0"/>
                <w:i w:val="0"/>
                <w:iCs w:val="0"/>
                <w:color w:val="auto"/>
                <w:kern w:val="0"/>
                <w:sz w:val="18"/>
                <w:szCs w:val="18"/>
                <w:u w:val="none"/>
                <w:vertAlign w:val="baseline"/>
                <w:lang w:val="en-US" w:eastAsia="zh-CN" w:bidi="ar"/>
              </w:rPr>
              <w:t>6</w:t>
            </w:r>
            <w:r>
              <w:rPr>
                <w:rFonts w:hint="default" w:ascii="Times New Roman" w:hAnsi="Times New Roman" w:cs="Times New Roman"/>
                <w:i w:val="0"/>
                <w:iCs w:val="0"/>
                <w:color w:val="auto"/>
                <w:kern w:val="0"/>
                <w:sz w:val="18"/>
                <w:szCs w:val="18"/>
                <w:u w:val="none"/>
                <w:vertAlign w:val="baseline"/>
                <w:lang w:val="en-US" w:eastAsia="zh-CN" w:bidi="ar"/>
              </w:rPr>
              <w:t>±</w:t>
            </w:r>
            <w:r>
              <w:rPr>
                <w:rFonts w:hint="eastAsia" w:ascii="Times New Roman" w:hAnsi="Times New Roman" w:eastAsia="宋体" w:cs="宋体"/>
                <w:b w:val="0"/>
                <w:i w:val="0"/>
                <w:iCs w:val="0"/>
                <w:color w:val="auto"/>
                <w:kern w:val="0"/>
                <w:sz w:val="18"/>
                <w:szCs w:val="18"/>
                <w:u w:val="none"/>
                <w:vertAlign w:val="baseline"/>
                <w:lang w:val="en-US" w:eastAsia="zh-CN" w:bidi="ar"/>
              </w:rPr>
              <w:t>55</w:t>
            </w:r>
            <w:r>
              <w:rPr>
                <w:rFonts w:hint="eastAsia" w:ascii="Times New Roman" w:hAnsi="Times New Roman" w:eastAsia="宋体" w:cs="宋体"/>
                <w:i w:val="0"/>
                <w:iCs w:val="0"/>
                <w:color w:val="auto"/>
                <w:kern w:val="0"/>
                <w:sz w:val="18"/>
                <w:szCs w:val="18"/>
                <w:u w:val="none"/>
                <w:vertAlign w:val="baseline"/>
                <w:lang w:val="en-US" w:eastAsia="zh-CN" w:bidi="ar"/>
              </w:rPr>
              <w:t>.</w:t>
            </w:r>
            <w:r>
              <w:rPr>
                <w:rFonts w:hint="eastAsia" w:ascii="Times New Roman" w:hAnsi="Times New Roman" w:eastAsia="宋体" w:cs="宋体"/>
                <w:b w:val="0"/>
                <w:i w:val="0"/>
                <w:iCs w:val="0"/>
                <w:color w:val="auto"/>
                <w:kern w:val="0"/>
                <w:sz w:val="18"/>
                <w:szCs w:val="18"/>
                <w:u w:val="none"/>
                <w:vertAlign w:val="baseline"/>
                <w:lang w:val="en-US" w:eastAsia="zh-CN" w:bidi="ar"/>
              </w:rPr>
              <w:t>17</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781" w:type="pct"/>
            <w:shd w:val="clear" w:color="auto" w:fill="FFFFFF"/>
            <w:noWrap w:val="0"/>
            <w:vAlign w:val="center"/>
          </w:tcPr>
          <w:p w14:paraId="37261CAE">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233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62</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w:t>
            </w:r>
            <w:r>
              <w:rPr>
                <w:rFonts w:hint="eastAsia" w:ascii="Times New Roman" w:hAnsi="Times New Roman" w:cs="宋体"/>
                <w:b w:val="0"/>
                <w:i w:val="0"/>
                <w:iCs w:val="0"/>
                <w:color w:val="auto"/>
                <w:kern w:val="0"/>
                <w:sz w:val="18"/>
                <w:szCs w:val="18"/>
                <w:u w:val="none"/>
                <w:lang w:val="en-US" w:eastAsia="zh-CN" w:bidi="ar"/>
              </w:rPr>
              <w:t>b</w:t>
            </w:r>
            <w:r>
              <w:rPr>
                <w:rFonts w:hint="eastAsia" w:ascii="Times New Roman" w:hAnsi="Times New Roman" w:cs="宋体"/>
                <w:b w:val="0"/>
                <w:i w:val="0"/>
                <w:iCs w:val="0"/>
                <w:color w:val="auto"/>
                <w:kern w:val="0"/>
                <w:sz w:val="18"/>
                <w:szCs w:val="18"/>
                <w:u w:val="none"/>
                <w:vertAlign w:val="superscript"/>
                <w:lang w:val="en-US" w:eastAsia="zh-CN" w:bidi="ar"/>
              </w:rPr>
              <w:t>c</w:t>
            </w:r>
          </w:p>
        </w:tc>
        <w:tc>
          <w:tcPr>
            <w:tcW w:w="464" w:type="pct"/>
            <w:shd w:val="clear" w:color="auto" w:fill="FFFFFF"/>
            <w:noWrap w:val="0"/>
            <w:vAlign w:val="center"/>
          </w:tcPr>
          <w:p w14:paraId="4975A37A">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eastAsia="宋体" w:cs="宋体"/>
                <w:b w:val="0"/>
                <w:i w:val="0"/>
                <w:color w:val="auto"/>
                <w:sz w:val="18"/>
                <w:szCs w:val="18"/>
                <w:vertAlign w:val="baseline"/>
                <w:lang w:val="en-US" w:eastAsia="zh-CN"/>
              </w:rPr>
              <w:t>0</w:t>
            </w:r>
            <w:r>
              <w:rPr>
                <w:rFonts w:hint="eastAsia" w:ascii="Times New Roman" w:hAnsi="Times New Roman" w:eastAsia="宋体"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r w14:paraId="6CDAB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36" w:type="pct"/>
            <w:shd w:val="clear" w:color="auto" w:fill="FFFFFF"/>
            <w:noWrap w:val="0"/>
            <w:vAlign w:val="center"/>
          </w:tcPr>
          <w:p w14:paraId="3428A4FE">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空肠隐窝深度</w:t>
            </w:r>
          </w:p>
        </w:tc>
        <w:tc>
          <w:tcPr>
            <w:tcW w:w="787" w:type="pct"/>
            <w:shd w:val="clear" w:color="auto" w:fill="FFFFFF"/>
            <w:noWrap w:val="0"/>
            <w:vAlign w:val="center"/>
          </w:tcPr>
          <w:p w14:paraId="7F38B977">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190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25</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49</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65</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06" w:type="pct"/>
            <w:shd w:val="clear" w:color="auto" w:fill="FFFFFF"/>
            <w:noWrap w:val="0"/>
            <w:vAlign w:val="center"/>
          </w:tcPr>
          <w:p w14:paraId="3C891B79">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213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05</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67</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793" w:type="pct"/>
            <w:shd w:val="clear" w:color="auto" w:fill="FFFFFF"/>
            <w:noWrap w:val="0"/>
            <w:vAlign w:val="center"/>
          </w:tcPr>
          <w:p w14:paraId="7A1E3E0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204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02</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29" w:type="pct"/>
            <w:shd w:val="clear" w:color="auto" w:fill="FFFFFF"/>
            <w:noWrap w:val="0"/>
            <w:vAlign w:val="center"/>
          </w:tcPr>
          <w:p w14:paraId="43C5384A">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257</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03</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29</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781" w:type="pct"/>
            <w:shd w:val="clear" w:color="auto" w:fill="FFFFFF"/>
            <w:noWrap w:val="0"/>
            <w:vAlign w:val="center"/>
          </w:tcPr>
          <w:p w14:paraId="3BE1A407">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204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98</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61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15</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464" w:type="pct"/>
            <w:shd w:val="clear" w:color="auto" w:fill="FFFFFF"/>
            <w:noWrap w:val="0"/>
            <w:vAlign w:val="center"/>
          </w:tcPr>
          <w:p w14:paraId="7BA4E9CA">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eastAsia="宋体" w:cs="宋体"/>
                <w:b w:val="0"/>
                <w:i w:val="0"/>
                <w:color w:val="auto"/>
                <w:sz w:val="18"/>
                <w:szCs w:val="18"/>
                <w:vertAlign w:val="baseline"/>
                <w:lang w:val="en-US" w:eastAsia="zh-CN"/>
              </w:rPr>
              <w:t>0</w:t>
            </w:r>
            <w:r>
              <w:rPr>
                <w:rFonts w:hint="eastAsia" w:ascii="Times New Roman" w:hAnsi="Times New Roman" w:eastAsia="宋体"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r w14:paraId="4F8A9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536" w:type="pct"/>
            <w:shd w:val="clear" w:color="auto" w:fill="FFFFFF"/>
            <w:noWrap w:val="0"/>
            <w:vAlign w:val="center"/>
          </w:tcPr>
          <w:p w14:paraId="3F7734C4">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回肠隐窝深度</w:t>
            </w:r>
          </w:p>
        </w:tc>
        <w:tc>
          <w:tcPr>
            <w:tcW w:w="787" w:type="pct"/>
            <w:shd w:val="clear" w:color="auto" w:fill="FFFFFF"/>
            <w:noWrap w:val="0"/>
            <w:vAlign w:val="center"/>
          </w:tcPr>
          <w:p w14:paraId="6CBDAE05">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134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97</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42</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06" w:type="pct"/>
            <w:shd w:val="clear" w:color="auto" w:fill="FFFFFF"/>
            <w:noWrap w:val="0"/>
            <w:vAlign w:val="center"/>
          </w:tcPr>
          <w:p w14:paraId="4CA7E883">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143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94</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29</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793" w:type="pct"/>
            <w:shd w:val="clear" w:color="auto" w:fill="FFFFFF"/>
            <w:noWrap w:val="0"/>
            <w:vAlign w:val="center"/>
          </w:tcPr>
          <w:p w14:paraId="4F677E95">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178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57</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29</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85</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829" w:type="pct"/>
            <w:shd w:val="clear" w:color="auto" w:fill="FFFFFF"/>
            <w:noWrap w:val="0"/>
            <w:vAlign w:val="center"/>
          </w:tcPr>
          <w:p w14:paraId="77D3ADC1">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137</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59</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21</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781" w:type="pct"/>
            <w:shd w:val="clear" w:color="auto" w:fill="FFFFFF"/>
            <w:noWrap w:val="0"/>
            <w:vAlign w:val="center"/>
          </w:tcPr>
          <w:p w14:paraId="0B0D3E9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168</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94</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25</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464" w:type="pct"/>
            <w:shd w:val="clear" w:color="auto" w:fill="FFFFFF"/>
            <w:noWrap w:val="0"/>
            <w:vAlign w:val="center"/>
          </w:tcPr>
          <w:p w14:paraId="1572F514">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w:t>
            </w: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r w14:paraId="305B5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shd w:val="clear" w:color="auto" w:fill="FFFFFF"/>
            <w:noWrap w:val="0"/>
            <w:vAlign w:val="center"/>
          </w:tcPr>
          <w:p w14:paraId="3A3BEDDF">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十二指肠绒隐比</w:t>
            </w:r>
          </w:p>
        </w:tc>
        <w:tc>
          <w:tcPr>
            <w:tcW w:w="787" w:type="pct"/>
            <w:shd w:val="clear" w:color="auto" w:fill="FFFFFF"/>
            <w:noWrap w:val="0"/>
            <w:vAlign w:val="center"/>
          </w:tcPr>
          <w:p w14:paraId="4ACE350B">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81</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27</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806" w:type="pct"/>
            <w:shd w:val="clear" w:color="auto" w:fill="FFFFFF"/>
            <w:noWrap w:val="0"/>
            <w:vAlign w:val="center"/>
          </w:tcPr>
          <w:p w14:paraId="4A674E1E">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95</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793" w:type="pct"/>
            <w:shd w:val="clear" w:color="auto" w:fill="FFFFFF"/>
            <w:noWrap w:val="0"/>
            <w:vAlign w:val="center"/>
          </w:tcPr>
          <w:p w14:paraId="785E6038">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18</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95</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29" w:type="pct"/>
            <w:shd w:val="clear" w:color="auto" w:fill="FFFFFF"/>
            <w:noWrap w:val="0"/>
            <w:vAlign w:val="center"/>
          </w:tcPr>
          <w:p w14:paraId="2FFC6D2A">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76</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81</w:t>
            </w:r>
            <w:r>
              <w:rPr>
                <w:rFonts w:hint="eastAsia" w:ascii="Times New Roman" w:hAnsi="Times New Roman" w:cs="宋体"/>
                <w:b w:val="0"/>
                <w:i w:val="0"/>
                <w:iCs w:val="0"/>
                <w:color w:val="auto"/>
                <w:kern w:val="0"/>
                <w:sz w:val="18"/>
                <w:szCs w:val="18"/>
                <w:u w:val="none"/>
                <w:vertAlign w:val="superscript"/>
                <w:lang w:val="en-US" w:eastAsia="zh-CN" w:bidi="ar"/>
              </w:rPr>
              <w:t>c</w:t>
            </w:r>
          </w:p>
        </w:tc>
        <w:tc>
          <w:tcPr>
            <w:tcW w:w="781" w:type="pct"/>
            <w:shd w:val="clear" w:color="auto" w:fill="FFFFFF"/>
            <w:noWrap w:val="0"/>
            <w:vAlign w:val="center"/>
          </w:tcPr>
          <w:p w14:paraId="7D82436E">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26</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464" w:type="pct"/>
            <w:shd w:val="clear" w:color="auto" w:fill="FFFFFF"/>
            <w:noWrap w:val="0"/>
            <w:vAlign w:val="center"/>
          </w:tcPr>
          <w:p w14:paraId="148A4C9C">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w:t>
            </w: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r w14:paraId="578FF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shd w:val="clear" w:color="auto" w:fill="FFFFFF"/>
            <w:noWrap w:val="0"/>
            <w:vAlign w:val="center"/>
          </w:tcPr>
          <w:p w14:paraId="45BFF775">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空肠绒隐比</w:t>
            </w:r>
          </w:p>
        </w:tc>
        <w:tc>
          <w:tcPr>
            <w:tcW w:w="787" w:type="pct"/>
            <w:shd w:val="clear" w:color="auto" w:fill="FFFFFF"/>
            <w:noWrap w:val="0"/>
            <w:vAlign w:val="center"/>
          </w:tcPr>
          <w:p w14:paraId="5637A239">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08</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97</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806" w:type="pct"/>
            <w:shd w:val="clear" w:color="auto" w:fill="FFFFFF"/>
            <w:noWrap w:val="0"/>
            <w:vAlign w:val="center"/>
          </w:tcPr>
          <w:p w14:paraId="40A9A369">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94</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99</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793" w:type="pct"/>
            <w:shd w:val="clear" w:color="auto" w:fill="FFFFFF"/>
            <w:noWrap w:val="0"/>
            <w:vAlign w:val="center"/>
          </w:tcPr>
          <w:p w14:paraId="65A2AE18">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94</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12</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29" w:type="pct"/>
            <w:shd w:val="clear" w:color="auto" w:fill="FFFFFF"/>
            <w:noWrap w:val="0"/>
            <w:vAlign w:val="center"/>
          </w:tcPr>
          <w:p w14:paraId="0965C4F7">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51</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43</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781" w:type="pct"/>
            <w:shd w:val="clear" w:color="auto" w:fill="FFFFFF"/>
            <w:noWrap w:val="0"/>
            <w:vAlign w:val="center"/>
          </w:tcPr>
          <w:p w14:paraId="43BDF6C0">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56</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71</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464" w:type="pct"/>
            <w:shd w:val="clear" w:color="auto" w:fill="FFFFFF"/>
            <w:noWrap w:val="0"/>
            <w:vAlign w:val="center"/>
          </w:tcPr>
          <w:p w14:paraId="0E58960E">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w:t>
            </w: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r w14:paraId="73740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6" w:type="pct"/>
            <w:shd w:val="clear" w:color="auto" w:fill="FFFFFF"/>
            <w:noWrap w:val="0"/>
            <w:vAlign w:val="center"/>
          </w:tcPr>
          <w:p w14:paraId="2536C2F3">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回肠绒隐比</w:t>
            </w:r>
          </w:p>
        </w:tc>
        <w:tc>
          <w:tcPr>
            <w:tcW w:w="787" w:type="pct"/>
            <w:shd w:val="clear" w:color="auto" w:fill="FFFFFF"/>
            <w:noWrap w:val="0"/>
            <w:vAlign w:val="center"/>
          </w:tcPr>
          <w:p w14:paraId="5F6E6144">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14</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24</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806" w:type="pct"/>
            <w:shd w:val="clear" w:color="auto" w:fill="FFFFFF"/>
            <w:noWrap w:val="0"/>
            <w:vAlign w:val="center"/>
          </w:tcPr>
          <w:p w14:paraId="3CA3D6A8">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4</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72</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87</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793" w:type="pct"/>
            <w:shd w:val="clear" w:color="auto" w:fill="FFFFFF"/>
            <w:noWrap w:val="0"/>
            <w:vAlign w:val="center"/>
          </w:tcPr>
          <w:p w14:paraId="769761F3">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47</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88</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829" w:type="pct"/>
            <w:shd w:val="clear" w:color="auto" w:fill="FFFFFF"/>
            <w:noWrap w:val="0"/>
            <w:vAlign w:val="center"/>
          </w:tcPr>
          <w:p w14:paraId="4959222F">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5</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06</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0</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96</w:t>
            </w:r>
            <w:r>
              <w:rPr>
                <w:rFonts w:hint="eastAsia" w:ascii="Times New Roman" w:hAnsi="Times New Roman" w:cs="宋体"/>
                <w:b w:val="0"/>
                <w:i w:val="0"/>
                <w:iCs w:val="0"/>
                <w:color w:val="auto"/>
                <w:kern w:val="0"/>
                <w:sz w:val="18"/>
                <w:szCs w:val="18"/>
                <w:u w:val="none"/>
                <w:vertAlign w:val="superscript"/>
                <w:lang w:val="en-US" w:eastAsia="zh-CN" w:bidi="ar"/>
              </w:rPr>
              <w:t>a</w:t>
            </w:r>
          </w:p>
        </w:tc>
        <w:tc>
          <w:tcPr>
            <w:tcW w:w="781" w:type="pct"/>
            <w:shd w:val="clear" w:color="auto" w:fill="FFFFFF"/>
            <w:noWrap w:val="0"/>
            <w:vAlign w:val="center"/>
          </w:tcPr>
          <w:p w14:paraId="008C4EA2">
            <w:pPr>
              <w:keepNext w:val="0"/>
              <w:keepLines w:val="0"/>
              <w:pageBreakBefore w:val="0"/>
              <w:widowControl/>
              <w:suppressLineNumbers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i w:val="0"/>
                <w:iCs w:val="0"/>
                <w:color w:val="auto"/>
                <w:kern w:val="0"/>
                <w:sz w:val="18"/>
                <w:szCs w:val="18"/>
                <w:u w:val="none"/>
                <w:lang w:val="en-US" w:eastAsia="zh-CN" w:bidi="ar"/>
              </w:rPr>
            </w:pPr>
            <w:r>
              <w:rPr>
                <w:rFonts w:hint="eastAsia" w:ascii="Times New Roman" w:hAnsi="Times New Roman" w:eastAsia="宋体" w:cs="宋体"/>
                <w:b w:val="0"/>
                <w:i w:val="0"/>
                <w:iCs w:val="0"/>
                <w:color w:val="auto"/>
                <w:kern w:val="0"/>
                <w:sz w:val="18"/>
                <w:szCs w:val="18"/>
                <w:u w:val="none"/>
                <w:lang w:val="en-US" w:eastAsia="zh-CN" w:bidi="ar"/>
              </w:rPr>
              <w:t>3</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78</w:t>
            </w:r>
            <w:r>
              <w:rPr>
                <w:rFonts w:hint="default" w:ascii="Times New Roman" w:hAnsi="Times New Roman" w:cs="Times New Roman"/>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w:t>
            </w:r>
            <w:r>
              <w:rPr>
                <w:rFonts w:hint="eastAsia" w:ascii="Times New Roman" w:hAnsi="Times New Roman" w:eastAsia="宋体" w:cs="宋体"/>
                <w:i w:val="0"/>
                <w:iCs w:val="0"/>
                <w:color w:val="auto"/>
                <w:kern w:val="0"/>
                <w:sz w:val="18"/>
                <w:szCs w:val="18"/>
                <w:u w:val="none"/>
                <w:lang w:val="en-US" w:eastAsia="zh-CN" w:bidi="ar"/>
              </w:rPr>
              <w:t>.</w:t>
            </w:r>
            <w:r>
              <w:rPr>
                <w:rFonts w:hint="eastAsia" w:ascii="Times New Roman" w:hAnsi="Times New Roman" w:eastAsia="宋体" w:cs="宋体"/>
                <w:b w:val="0"/>
                <w:i w:val="0"/>
                <w:iCs w:val="0"/>
                <w:color w:val="auto"/>
                <w:kern w:val="0"/>
                <w:sz w:val="18"/>
                <w:szCs w:val="18"/>
                <w:u w:val="none"/>
                <w:lang w:val="en-US" w:eastAsia="zh-CN" w:bidi="ar"/>
              </w:rPr>
              <w:t>16</w:t>
            </w:r>
            <w:r>
              <w:rPr>
                <w:rFonts w:hint="eastAsia" w:ascii="Times New Roman" w:hAnsi="Times New Roman" w:cs="宋体"/>
                <w:b w:val="0"/>
                <w:i w:val="0"/>
                <w:iCs w:val="0"/>
                <w:color w:val="auto"/>
                <w:kern w:val="0"/>
                <w:sz w:val="18"/>
                <w:szCs w:val="18"/>
                <w:u w:val="none"/>
                <w:vertAlign w:val="superscript"/>
                <w:lang w:val="en-US" w:eastAsia="zh-CN" w:bidi="ar"/>
              </w:rPr>
              <w:t>b</w:t>
            </w:r>
          </w:p>
        </w:tc>
        <w:tc>
          <w:tcPr>
            <w:tcW w:w="464" w:type="pct"/>
            <w:shd w:val="clear" w:color="auto" w:fill="FFFFFF"/>
            <w:noWrap w:val="0"/>
            <w:vAlign w:val="center"/>
          </w:tcPr>
          <w:p w14:paraId="0C627340">
            <w:pPr>
              <w:keepNext w:val="0"/>
              <w:keepLines w:val="0"/>
              <w:pageBreakBefore w:val="0"/>
              <w:kinsoku/>
              <w:wordWrap/>
              <w:overflowPunct/>
              <w:topLinePunct w:val="0"/>
              <w:autoSpaceDE/>
              <w:autoSpaceDN/>
              <w:bidi w:val="0"/>
              <w:adjustRightInd/>
              <w:snapToGrid/>
              <w:spacing w:after="0" w:line="240" w:lineRule="auto"/>
              <w:ind w:firstLine="0" w:firstLineChars="0"/>
              <w:jc w:val="center"/>
              <w:textAlignment w:val="auto"/>
              <w:rPr>
                <w:rFonts w:hint="default" w:ascii="Times New Roman" w:hAnsi="Times New Roman" w:eastAsia="宋体" w:cs="宋体"/>
                <w:b w:val="0"/>
                <w:color w:val="auto"/>
                <w:sz w:val="18"/>
                <w:szCs w:val="18"/>
                <w:vertAlign w:val="baseline"/>
                <w:lang w:val="en-US" w:eastAsia="zh-CN"/>
              </w:rPr>
            </w:pP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w:t>
            </w:r>
            <w:r>
              <w:rPr>
                <w:rFonts w:hint="eastAsia" w:ascii="Times New Roman" w:hAnsi="Times New Roman" w:cs="宋体"/>
                <w:b w:val="0"/>
                <w:color w:val="auto"/>
                <w:sz w:val="18"/>
                <w:szCs w:val="18"/>
                <w:vertAlign w:val="baseline"/>
                <w:lang w:val="en-US" w:eastAsia="zh-CN"/>
              </w:rPr>
              <w:t>.</w:t>
            </w:r>
            <w:r>
              <w:rPr>
                <w:rFonts w:hint="eastAsia" w:ascii="Times New Roman" w:hAnsi="Times New Roman" w:cs="宋体"/>
                <w:b w:val="0"/>
                <w:i w:val="0"/>
                <w:color w:val="auto"/>
                <w:sz w:val="18"/>
                <w:szCs w:val="18"/>
                <w:vertAlign w:val="baseline"/>
                <w:lang w:val="en-US" w:eastAsia="zh-CN"/>
              </w:rPr>
              <w:t>001</w:t>
            </w:r>
          </w:p>
        </w:tc>
      </w:tr>
    </w:tbl>
    <w:p w14:paraId="30972D0B">
      <w:pPr>
        <w:keepNext w:val="0"/>
        <w:keepLines w:val="0"/>
        <w:pageBreakBefore w:val="0"/>
        <w:widowControl/>
        <w:suppressLineNumbers w:val="0"/>
        <w:kinsoku/>
        <w:wordWrap/>
        <w:overflowPunct/>
        <w:topLinePunct w:val="0"/>
        <w:autoSpaceDE/>
        <w:autoSpaceDN/>
        <w:bidi w:val="0"/>
        <w:adjustRightInd/>
        <w:snapToGrid/>
        <w:spacing w:before="313" w:beforeLines="100"/>
        <w:jc w:val="both"/>
        <w:textAlignment w:val="auto"/>
        <w:rPr>
          <w:rFonts w:hint="default" w:ascii="仿宋_GB2312" w:hAnsi="仿宋_GB2312" w:eastAsia="仿宋_GB2312" w:cs="仿宋_GB2312"/>
          <w:color w:val="auto"/>
          <w:sz w:val="24"/>
          <w:szCs w:val="24"/>
          <w:lang w:val="en-US" w:eastAsia="zh-CN"/>
        </w:rPr>
      </w:pPr>
      <w:r>
        <w:rPr>
          <w:rFonts w:hint="eastAsia" w:ascii="仿宋_GB2312" w:hAnsi="宋体" w:eastAsia="仿宋_GB2312" w:cs="Times New Roman"/>
          <w:kern w:val="2"/>
          <w:sz w:val="32"/>
          <w:szCs w:val="28"/>
          <w:highlight w:val="none"/>
          <w:lang w:val="en-US" w:eastAsia="zh-CN" w:bidi="ar-SA"/>
        </w:rPr>
        <w:t>在31</w:t>
      </w:r>
      <w:r>
        <w:rPr>
          <w:rFonts w:hint="eastAsia" w:ascii="仿宋_GB2312" w:hAnsi="宋体" w:cs="Times New Roman"/>
          <w:kern w:val="2"/>
          <w:sz w:val="32"/>
          <w:szCs w:val="28"/>
          <w:highlight w:val="none"/>
          <w:lang w:val="en-US" w:eastAsia="zh-CN" w:bidi="ar-SA"/>
        </w:rPr>
        <w:t>～</w:t>
      </w:r>
      <w:r>
        <w:rPr>
          <w:rFonts w:hint="eastAsia" w:ascii="仿宋_GB2312" w:hAnsi="宋体" w:eastAsia="仿宋_GB2312" w:cs="Times New Roman"/>
          <w:kern w:val="2"/>
          <w:sz w:val="32"/>
          <w:szCs w:val="28"/>
          <w:highlight w:val="none"/>
          <w:lang w:val="en-US" w:eastAsia="zh-CN" w:bidi="ar-SA"/>
        </w:rPr>
        <w:t>60日龄七百弄鸡</w:t>
      </w:r>
      <w:r>
        <w:rPr>
          <w:rFonts w:hint="eastAsia" w:ascii="仿宋_GB2312" w:hAnsi="宋体" w:cs="Times New Roman"/>
          <w:kern w:val="2"/>
          <w:sz w:val="32"/>
          <w:szCs w:val="28"/>
          <w:highlight w:val="none"/>
          <w:lang w:val="en-US" w:eastAsia="zh-CN" w:bidi="ar-SA"/>
        </w:rPr>
        <w:t>种鸡</w:t>
      </w:r>
      <w:r>
        <w:rPr>
          <w:rFonts w:hint="eastAsia" w:ascii="仿宋_GB2312" w:hAnsi="宋体" w:eastAsia="仿宋_GB2312" w:cs="Times New Roman"/>
          <w:kern w:val="2"/>
          <w:sz w:val="32"/>
          <w:szCs w:val="28"/>
          <w:highlight w:val="none"/>
          <w:lang w:val="en-US" w:eastAsia="zh-CN" w:bidi="ar-SA"/>
        </w:rPr>
        <w:t>饲粮中粗蛋白质的最适需要量试验中，综合生长性能、体尺发育、蛋白质利用效率及肠道功能结果，建议31</w:t>
      </w:r>
      <w:r>
        <w:rPr>
          <w:rFonts w:hint="eastAsia" w:ascii="仿宋_GB2312" w:hAnsi="宋体" w:cs="Times New Roman"/>
          <w:kern w:val="2"/>
          <w:sz w:val="32"/>
          <w:szCs w:val="28"/>
          <w:highlight w:val="none"/>
          <w:lang w:val="en-US" w:eastAsia="zh-CN" w:bidi="ar-SA"/>
        </w:rPr>
        <w:t>～</w:t>
      </w:r>
      <w:r>
        <w:rPr>
          <w:rFonts w:hint="eastAsia" w:ascii="仿宋_GB2312" w:hAnsi="宋体" w:eastAsia="仿宋_GB2312" w:cs="Times New Roman"/>
          <w:kern w:val="2"/>
          <w:sz w:val="32"/>
          <w:szCs w:val="28"/>
          <w:highlight w:val="none"/>
          <w:lang w:val="en-US" w:eastAsia="zh-CN" w:bidi="ar-SA"/>
        </w:rPr>
        <w:t>60日龄七百弄鸡</w:t>
      </w:r>
      <w:r>
        <w:rPr>
          <w:rFonts w:hint="eastAsia" w:ascii="仿宋_GB2312" w:hAnsi="宋体" w:cs="Times New Roman"/>
          <w:kern w:val="2"/>
          <w:sz w:val="32"/>
          <w:szCs w:val="28"/>
          <w:highlight w:val="none"/>
          <w:lang w:val="en-US" w:eastAsia="zh-CN" w:bidi="ar-SA"/>
        </w:rPr>
        <w:t>种鸡</w:t>
      </w:r>
      <w:r>
        <w:rPr>
          <w:rFonts w:hint="eastAsia" w:ascii="仿宋_GB2312" w:hAnsi="宋体" w:eastAsia="仿宋_GB2312" w:cs="Times New Roman"/>
          <w:kern w:val="2"/>
          <w:sz w:val="32"/>
          <w:szCs w:val="28"/>
          <w:highlight w:val="none"/>
          <w:lang w:val="en-US" w:eastAsia="zh-CN" w:bidi="ar-SA"/>
        </w:rPr>
        <w:t>饲粮粗蛋白质水平控制在17.39%</w:t>
      </w:r>
      <w:r>
        <w:rPr>
          <w:rFonts w:hint="eastAsia" w:ascii="仿宋_GB2312" w:hAnsi="宋体" w:cs="Times New Roman"/>
          <w:kern w:val="2"/>
          <w:sz w:val="32"/>
          <w:szCs w:val="28"/>
          <w:highlight w:val="none"/>
          <w:lang w:val="en-US" w:eastAsia="zh-CN" w:bidi="ar-SA"/>
        </w:rPr>
        <w:t>～</w:t>
      </w:r>
      <w:r>
        <w:rPr>
          <w:rFonts w:hint="eastAsia" w:ascii="仿宋_GB2312" w:hAnsi="宋体" w:eastAsia="仿宋_GB2312" w:cs="Times New Roman"/>
          <w:kern w:val="2"/>
          <w:sz w:val="32"/>
          <w:szCs w:val="28"/>
          <w:highlight w:val="none"/>
          <w:lang w:val="en-US" w:eastAsia="zh-CN" w:bidi="ar-SA"/>
        </w:rPr>
        <w:t>18.52%，其中18.52%水平可实现生长性能、体尺发育与肠道功能的最优平衡，17.39%水平更适配低成本养殖需求</w:t>
      </w:r>
      <w:r>
        <w:rPr>
          <w:rFonts w:hint="eastAsia" w:ascii="仿宋_GB2312" w:hAnsi="宋体" w:cs="Times New Roman"/>
          <w:kern w:val="2"/>
          <w:sz w:val="32"/>
          <w:szCs w:val="28"/>
          <w:highlight w:val="none"/>
          <w:lang w:val="en-US" w:eastAsia="zh-CN" w:bidi="ar-SA"/>
        </w:rPr>
        <w:t>,具体数据见表3、表4。</w:t>
      </w:r>
    </w:p>
    <w:p w14:paraId="0F926939">
      <w:pPr>
        <w:keepNext w:val="0"/>
        <w:keepLines w:val="0"/>
        <w:pageBreakBefore w:val="0"/>
        <w:widowControl/>
        <w:suppressLineNumbers w:val="0"/>
        <w:kinsoku/>
        <w:wordWrap/>
        <w:overflowPunct/>
        <w:topLinePunct w:val="0"/>
        <w:autoSpaceDE/>
        <w:autoSpaceDN/>
        <w:bidi w:val="0"/>
        <w:adjustRightInd/>
        <w:snapToGrid/>
        <w:spacing w:before="157" w:beforeLines="50"/>
        <w:jc w:val="center"/>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eastAsia="zh-CN"/>
        </w:rPr>
        <w:t>表</w:t>
      </w:r>
      <w:r>
        <w:rPr>
          <w:rFonts w:hint="eastAsia" w:ascii="仿宋_GB2312" w:hAnsi="仿宋_GB2312" w:eastAsia="仿宋_GB2312" w:cs="仿宋_GB2312"/>
          <w:color w:val="auto"/>
          <w:sz w:val="24"/>
          <w:szCs w:val="24"/>
          <w:lang w:val="en-US" w:eastAsia="zh-CN"/>
        </w:rPr>
        <w:t xml:space="preserve">3  </w:t>
      </w:r>
      <w:r>
        <w:rPr>
          <w:rFonts w:hint="eastAsia" w:ascii="仿宋_GB2312" w:hAnsi="仿宋_GB2312" w:eastAsia="仿宋_GB2312" w:cs="仿宋_GB2312"/>
          <w:color w:val="auto"/>
          <w:sz w:val="24"/>
          <w:szCs w:val="24"/>
          <w:lang w:eastAsia="zh-CN"/>
        </w:rPr>
        <w:t>饲粮粗蛋白水平对31</w:t>
      </w:r>
      <w:r>
        <w:rPr>
          <w:rFonts w:hint="eastAsia" w:ascii="仿宋_GB2312" w:hAnsi="仿宋_GB2312" w:eastAsia="仿宋_GB2312" w:cs="仿宋_GB2312"/>
          <w:color w:val="auto"/>
          <w:sz w:val="24"/>
          <w:szCs w:val="24"/>
          <w:lang w:val="en-US" w:eastAsia="zh-CN"/>
        </w:rPr>
        <w:t>～</w:t>
      </w:r>
      <w:r>
        <w:rPr>
          <w:rFonts w:hint="eastAsia" w:ascii="仿宋_GB2312" w:hAnsi="仿宋_GB2312" w:eastAsia="仿宋_GB2312" w:cs="仿宋_GB2312"/>
          <w:color w:val="auto"/>
          <w:sz w:val="24"/>
          <w:szCs w:val="24"/>
          <w:lang w:eastAsia="zh-CN"/>
        </w:rPr>
        <w:t>60日龄七百弄鸡</w:t>
      </w:r>
      <w:r>
        <w:rPr>
          <w:rFonts w:hint="eastAsia" w:ascii="仿宋_GB2312" w:hAnsi="仿宋_GB2312" w:cs="仿宋_GB2312"/>
          <w:color w:val="auto"/>
          <w:sz w:val="24"/>
          <w:szCs w:val="24"/>
          <w:lang w:val="en-US" w:eastAsia="zh-CN"/>
        </w:rPr>
        <w:t>种鸡</w:t>
      </w:r>
      <w:r>
        <w:rPr>
          <w:rFonts w:hint="eastAsia" w:ascii="仿宋_GB2312" w:hAnsi="仿宋_GB2312" w:eastAsia="仿宋_GB2312" w:cs="仿宋_GB2312"/>
          <w:color w:val="auto"/>
          <w:sz w:val="24"/>
          <w:szCs w:val="24"/>
          <w:lang w:eastAsia="zh-CN"/>
        </w:rPr>
        <w:t>体尺性状的影响</w:t>
      </w:r>
    </w:p>
    <w:tbl>
      <w:tblPr>
        <w:tblStyle w:val="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40" w:type="dxa"/>
          <w:left w:w="64" w:type="dxa"/>
          <w:bottom w:w="40" w:type="dxa"/>
          <w:right w:w="64" w:type="dxa"/>
        </w:tblCellMar>
      </w:tblPr>
      <w:tblGrid>
        <w:gridCol w:w="1412"/>
        <w:gridCol w:w="1472"/>
        <w:gridCol w:w="1368"/>
        <w:gridCol w:w="1265"/>
        <w:gridCol w:w="1368"/>
        <w:gridCol w:w="1281"/>
        <w:gridCol w:w="918"/>
      </w:tblGrid>
      <w:tr w14:paraId="6110D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tblHeader/>
          <w:jc w:val="center"/>
        </w:trPr>
        <w:tc>
          <w:tcPr>
            <w:tcW w:w="777" w:type="pct"/>
            <w:vMerge w:val="restart"/>
            <w:tcBorders>
              <w:tl2br w:val="nil"/>
            </w:tcBorders>
            <w:shd w:val="clear" w:color="auto" w:fill="FFFFFF"/>
            <w:noWrap w:val="0"/>
            <w:vAlign w:val="center"/>
          </w:tcPr>
          <w:p w14:paraId="50D3F200">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
                <w:color w:val="auto"/>
                <w:sz w:val="18"/>
                <w:szCs w:val="18"/>
              </w:rPr>
            </w:pPr>
            <w:r>
              <w:rPr>
                <w:rFonts w:hint="eastAsia"/>
                <w:bCs/>
                <w:color w:val="auto"/>
                <w:sz w:val="18"/>
                <w:szCs w:val="18"/>
              </w:rPr>
              <w:t>项目</w:t>
            </w:r>
          </w:p>
        </w:tc>
        <w:tc>
          <w:tcPr>
            <w:tcW w:w="3717" w:type="pct"/>
            <w:gridSpan w:val="5"/>
            <w:shd w:val="clear" w:color="auto" w:fill="FFFFFF"/>
            <w:noWrap w:val="0"/>
            <w:vAlign w:val="center"/>
          </w:tcPr>
          <w:p w14:paraId="1F55813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
                <w:color w:val="auto"/>
                <w:sz w:val="18"/>
                <w:szCs w:val="18"/>
              </w:rPr>
            </w:pPr>
            <w:r>
              <w:rPr>
                <w:rFonts w:hint="eastAsia"/>
                <w:bCs/>
                <w:color w:val="auto"/>
                <w:sz w:val="18"/>
                <w:szCs w:val="18"/>
              </w:rPr>
              <w:t>CP%</w:t>
            </w:r>
          </w:p>
        </w:tc>
        <w:tc>
          <w:tcPr>
            <w:tcW w:w="505" w:type="pct"/>
            <w:vMerge w:val="restart"/>
            <w:shd w:val="clear" w:color="auto" w:fill="FFFFFF"/>
            <w:noWrap w:val="0"/>
            <w:vAlign w:val="center"/>
          </w:tcPr>
          <w:p w14:paraId="719F33A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
                <w:color w:val="auto"/>
                <w:sz w:val="18"/>
                <w:szCs w:val="18"/>
              </w:rPr>
            </w:pPr>
            <w:r>
              <w:rPr>
                <w:rFonts w:hint="eastAsia"/>
                <w:bCs/>
                <w:color w:val="auto"/>
                <w:sz w:val="18"/>
                <w:szCs w:val="18"/>
              </w:rPr>
              <w:t>P值</w:t>
            </w:r>
          </w:p>
        </w:tc>
      </w:tr>
      <w:tr w14:paraId="30D67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tblHeader/>
          <w:jc w:val="center"/>
        </w:trPr>
        <w:tc>
          <w:tcPr>
            <w:tcW w:w="777" w:type="pct"/>
            <w:vMerge w:val="continue"/>
            <w:tcBorders>
              <w:tl2br w:val="nil"/>
            </w:tcBorders>
            <w:shd w:val="clear" w:color="auto" w:fill="FFFFFF"/>
            <w:noWrap w:val="0"/>
            <w:vAlign w:val="center"/>
          </w:tcPr>
          <w:p w14:paraId="389685ED">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
                <w:color w:val="auto"/>
                <w:sz w:val="18"/>
                <w:szCs w:val="18"/>
              </w:rPr>
            </w:pPr>
          </w:p>
        </w:tc>
        <w:tc>
          <w:tcPr>
            <w:tcW w:w="810" w:type="pct"/>
            <w:shd w:val="clear" w:color="auto" w:fill="FFFFFF"/>
            <w:noWrap w:val="0"/>
            <w:vAlign w:val="center"/>
          </w:tcPr>
          <w:p w14:paraId="5F02EE65">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Cs/>
                <w:color w:val="auto"/>
                <w:sz w:val="18"/>
                <w:szCs w:val="18"/>
              </w:rPr>
            </w:pPr>
            <w:r>
              <w:rPr>
                <w:rFonts w:hint="eastAsia"/>
                <w:bCs/>
                <w:color w:val="auto"/>
                <w:sz w:val="18"/>
                <w:szCs w:val="18"/>
              </w:rPr>
              <w:t>15.53%</w:t>
            </w:r>
          </w:p>
        </w:tc>
        <w:tc>
          <w:tcPr>
            <w:tcW w:w="753" w:type="pct"/>
            <w:shd w:val="clear" w:color="auto" w:fill="FFFFFF"/>
            <w:noWrap w:val="0"/>
            <w:vAlign w:val="center"/>
          </w:tcPr>
          <w:p w14:paraId="0BC76FED">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Cs/>
                <w:color w:val="auto"/>
                <w:sz w:val="18"/>
                <w:szCs w:val="18"/>
              </w:rPr>
            </w:pPr>
            <w:r>
              <w:rPr>
                <w:rFonts w:hint="eastAsia"/>
                <w:bCs/>
                <w:color w:val="auto"/>
                <w:sz w:val="18"/>
                <w:szCs w:val="18"/>
              </w:rPr>
              <w:t>16.35%</w:t>
            </w:r>
          </w:p>
        </w:tc>
        <w:tc>
          <w:tcPr>
            <w:tcW w:w="696" w:type="pct"/>
            <w:shd w:val="clear" w:color="auto" w:fill="FFFFFF"/>
            <w:noWrap w:val="0"/>
            <w:vAlign w:val="center"/>
          </w:tcPr>
          <w:p w14:paraId="4B1F5463">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Cs/>
                <w:color w:val="auto"/>
                <w:sz w:val="18"/>
                <w:szCs w:val="18"/>
              </w:rPr>
            </w:pPr>
            <w:r>
              <w:rPr>
                <w:rFonts w:hint="eastAsia"/>
                <w:bCs/>
                <w:color w:val="auto"/>
                <w:sz w:val="18"/>
                <w:szCs w:val="18"/>
              </w:rPr>
              <w:t>17.39%</w:t>
            </w:r>
          </w:p>
        </w:tc>
        <w:tc>
          <w:tcPr>
            <w:tcW w:w="753" w:type="pct"/>
            <w:shd w:val="clear" w:color="auto" w:fill="FFFFFF"/>
            <w:noWrap w:val="0"/>
            <w:vAlign w:val="center"/>
          </w:tcPr>
          <w:p w14:paraId="48A1694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Cs/>
                <w:color w:val="auto"/>
                <w:sz w:val="18"/>
                <w:szCs w:val="18"/>
              </w:rPr>
            </w:pPr>
            <w:r>
              <w:rPr>
                <w:rFonts w:hint="eastAsia"/>
                <w:bCs/>
                <w:color w:val="auto"/>
                <w:sz w:val="18"/>
                <w:szCs w:val="18"/>
              </w:rPr>
              <w:t>18.52%</w:t>
            </w:r>
          </w:p>
        </w:tc>
        <w:tc>
          <w:tcPr>
            <w:tcW w:w="703" w:type="pct"/>
            <w:shd w:val="clear" w:color="auto" w:fill="FFFFFF"/>
            <w:noWrap w:val="0"/>
            <w:vAlign w:val="center"/>
          </w:tcPr>
          <w:p w14:paraId="5E6AE4D4">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Cs/>
                <w:color w:val="auto"/>
                <w:sz w:val="18"/>
                <w:szCs w:val="18"/>
              </w:rPr>
            </w:pPr>
            <w:r>
              <w:rPr>
                <w:rFonts w:hint="eastAsia"/>
                <w:bCs/>
                <w:color w:val="auto"/>
                <w:sz w:val="18"/>
                <w:szCs w:val="18"/>
              </w:rPr>
              <w:t>19.95%</w:t>
            </w:r>
          </w:p>
        </w:tc>
        <w:tc>
          <w:tcPr>
            <w:tcW w:w="505" w:type="pct"/>
            <w:vMerge w:val="continue"/>
            <w:shd w:val="clear" w:color="auto" w:fill="FFFFFF"/>
            <w:noWrap w:val="0"/>
            <w:vAlign w:val="center"/>
          </w:tcPr>
          <w:p w14:paraId="269CBDA9">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b/>
                <w:color w:val="auto"/>
                <w:sz w:val="18"/>
                <w:szCs w:val="18"/>
              </w:rPr>
            </w:pPr>
          </w:p>
        </w:tc>
      </w:tr>
      <w:tr w14:paraId="7EDA6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6D123E57">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体重（g）</w:t>
            </w:r>
          </w:p>
        </w:tc>
        <w:tc>
          <w:tcPr>
            <w:tcW w:w="810" w:type="pct"/>
            <w:shd w:val="clear" w:color="auto" w:fill="FFFFFF"/>
            <w:noWrap w:val="0"/>
            <w:vAlign w:val="center"/>
          </w:tcPr>
          <w:p w14:paraId="4D2D5007">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color w:val="auto"/>
                <w:sz w:val="18"/>
                <w:szCs w:val="18"/>
              </w:rPr>
              <w:t>712.48±10.49</w:t>
            </w:r>
          </w:p>
        </w:tc>
        <w:tc>
          <w:tcPr>
            <w:tcW w:w="753" w:type="pct"/>
            <w:shd w:val="clear" w:color="auto" w:fill="FFFFFF"/>
            <w:noWrap w:val="0"/>
            <w:vAlign w:val="center"/>
          </w:tcPr>
          <w:p w14:paraId="16AB0D68">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719.19±7.86</w:t>
            </w:r>
          </w:p>
        </w:tc>
        <w:tc>
          <w:tcPr>
            <w:tcW w:w="696" w:type="pct"/>
            <w:shd w:val="clear" w:color="auto" w:fill="FFFFFF"/>
            <w:noWrap w:val="0"/>
            <w:vAlign w:val="center"/>
          </w:tcPr>
          <w:p w14:paraId="4304E2AC">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731.38±8.74</w:t>
            </w:r>
          </w:p>
        </w:tc>
        <w:tc>
          <w:tcPr>
            <w:tcW w:w="753" w:type="pct"/>
            <w:shd w:val="clear" w:color="auto" w:fill="FFFFFF"/>
            <w:noWrap w:val="0"/>
            <w:vAlign w:val="center"/>
          </w:tcPr>
          <w:p w14:paraId="42122969">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724.93±10.6</w:t>
            </w:r>
          </w:p>
        </w:tc>
        <w:tc>
          <w:tcPr>
            <w:tcW w:w="703" w:type="pct"/>
            <w:shd w:val="clear" w:color="auto" w:fill="FFFFFF"/>
            <w:noWrap w:val="0"/>
            <w:vAlign w:val="center"/>
          </w:tcPr>
          <w:p w14:paraId="5BF5AF26">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725.87±8.43</w:t>
            </w:r>
          </w:p>
        </w:tc>
        <w:tc>
          <w:tcPr>
            <w:tcW w:w="505" w:type="pct"/>
            <w:shd w:val="clear" w:color="auto" w:fill="FFFFFF"/>
            <w:noWrap w:val="0"/>
            <w:vAlign w:val="center"/>
          </w:tcPr>
          <w:p w14:paraId="67200FCF">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0.809</w:t>
            </w:r>
          </w:p>
        </w:tc>
      </w:tr>
      <w:tr w14:paraId="37C38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5804FAC1">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体斜长（cm）</w:t>
            </w:r>
          </w:p>
        </w:tc>
        <w:tc>
          <w:tcPr>
            <w:tcW w:w="810" w:type="pct"/>
            <w:shd w:val="clear" w:color="auto" w:fill="FFFFFF"/>
            <w:noWrap w:val="0"/>
            <w:vAlign w:val="center"/>
          </w:tcPr>
          <w:p w14:paraId="5499FF55">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color w:val="auto"/>
                <w:sz w:val="18"/>
                <w:szCs w:val="18"/>
              </w:rPr>
              <w:t>1</w:t>
            </w:r>
            <w:r>
              <w:rPr>
                <w:rFonts w:hint="eastAsia"/>
                <w:color w:val="auto"/>
                <w:sz w:val="18"/>
                <w:szCs w:val="18"/>
              </w:rPr>
              <w:t>4</w:t>
            </w:r>
            <w:r>
              <w:rPr>
                <w:color w:val="auto"/>
                <w:sz w:val="18"/>
                <w:szCs w:val="18"/>
              </w:rPr>
              <w:t>.</w:t>
            </w:r>
            <w:r>
              <w:rPr>
                <w:rFonts w:hint="eastAsia"/>
                <w:color w:val="auto"/>
                <w:sz w:val="18"/>
                <w:szCs w:val="18"/>
              </w:rPr>
              <w:t>11</w:t>
            </w:r>
            <w:r>
              <w:rPr>
                <w:color w:val="auto"/>
                <w:sz w:val="18"/>
                <w:szCs w:val="18"/>
              </w:rPr>
              <w:t>±0.</w:t>
            </w:r>
            <w:r>
              <w:rPr>
                <w:rFonts w:hint="eastAsia"/>
                <w:color w:val="auto"/>
                <w:sz w:val="18"/>
                <w:szCs w:val="18"/>
              </w:rPr>
              <w:t>12</w:t>
            </w:r>
            <w:r>
              <w:rPr>
                <w:rFonts w:hint="eastAsia"/>
                <w:color w:val="auto"/>
                <w:sz w:val="18"/>
                <w:szCs w:val="18"/>
                <w:vertAlign w:val="superscript"/>
              </w:rPr>
              <w:t>c</w:t>
            </w:r>
          </w:p>
        </w:tc>
        <w:tc>
          <w:tcPr>
            <w:tcW w:w="753" w:type="pct"/>
            <w:shd w:val="clear" w:color="auto" w:fill="FFFFFF"/>
            <w:noWrap w:val="0"/>
            <w:vAlign w:val="center"/>
          </w:tcPr>
          <w:p w14:paraId="2DD99B08">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1</w:t>
            </w:r>
            <w:r>
              <w:rPr>
                <w:rFonts w:hint="eastAsia"/>
                <w:color w:val="auto"/>
                <w:sz w:val="18"/>
                <w:szCs w:val="18"/>
              </w:rPr>
              <w:t>4</w:t>
            </w:r>
            <w:r>
              <w:rPr>
                <w:color w:val="auto"/>
                <w:sz w:val="18"/>
                <w:szCs w:val="18"/>
              </w:rPr>
              <w:t>.</w:t>
            </w:r>
            <w:r>
              <w:rPr>
                <w:rFonts w:hint="eastAsia"/>
                <w:color w:val="auto"/>
                <w:sz w:val="18"/>
                <w:szCs w:val="18"/>
              </w:rPr>
              <w:t>06</w:t>
            </w:r>
            <w:r>
              <w:rPr>
                <w:color w:val="auto"/>
                <w:sz w:val="18"/>
                <w:szCs w:val="18"/>
              </w:rPr>
              <w:t>±0.</w:t>
            </w:r>
            <w:r>
              <w:rPr>
                <w:rFonts w:hint="eastAsia"/>
                <w:color w:val="auto"/>
                <w:sz w:val="18"/>
                <w:szCs w:val="18"/>
              </w:rPr>
              <w:t>90</w:t>
            </w:r>
            <w:r>
              <w:rPr>
                <w:rFonts w:hint="eastAsia"/>
                <w:color w:val="auto"/>
                <w:sz w:val="18"/>
                <w:szCs w:val="18"/>
                <w:vertAlign w:val="superscript"/>
              </w:rPr>
              <w:t>c</w:t>
            </w:r>
          </w:p>
        </w:tc>
        <w:tc>
          <w:tcPr>
            <w:tcW w:w="696" w:type="pct"/>
            <w:shd w:val="clear" w:color="auto" w:fill="FFFFFF"/>
            <w:noWrap w:val="0"/>
            <w:vAlign w:val="center"/>
          </w:tcPr>
          <w:p w14:paraId="1A8BBB0C">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1</w:t>
            </w:r>
            <w:r>
              <w:rPr>
                <w:rFonts w:hint="eastAsia"/>
                <w:color w:val="auto"/>
                <w:sz w:val="18"/>
                <w:szCs w:val="18"/>
              </w:rPr>
              <w:t>4</w:t>
            </w:r>
            <w:r>
              <w:rPr>
                <w:color w:val="auto"/>
                <w:sz w:val="18"/>
                <w:szCs w:val="18"/>
              </w:rPr>
              <w:t>.</w:t>
            </w:r>
            <w:r>
              <w:rPr>
                <w:rFonts w:hint="eastAsia"/>
                <w:color w:val="auto"/>
                <w:sz w:val="18"/>
                <w:szCs w:val="18"/>
              </w:rPr>
              <w:t>40</w:t>
            </w:r>
            <w:r>
              <w:rPr>
                <w:color w:val="auto"/>
                <w:sz w:val="18"/>
                <w:szCs w:val="18"/>
              </w:rPr>
              <w:t>±0.</w:t>
            </w:r>
            <w:r>
              <w:rPr>
                <w:rFonts w:hint="eastAsia"/>
                <w:color w:val="auto"/>
                <w:sz w:val="18"/>
                <w:szCs w:val="18"/>
              </w:rPr>
              <w:t>12</w:t>
            </w:r>
            <w:r>
              <w:rPr>
                <w:rFonts w:hint="eastAsia"/>
                <w:color w:val="auto"/>
                <w:sz w:val="18"/>
                <w:szCs w:val="18"/>
                <w:vertAlign w:val="superscript"/>
              </w:rPr>
              <w:t>ab</w:t>
            </w:r>
          </w:p>
        </w:tc>
        <w:tc>
          <w:tcPr>
            <w:tcW w:w="753" w:type="pct"/>
            <w:shd w:val="clear" w:color="auto" w:fill="FFFFFF"/>
            <w:noWrap w:val="0"/>
            <w:vAlign w:val="center"/>
          </w:tcPr>
          <w:p w14:paraId="32CC092C">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1</w:t>
            </w:r>
            <w:r>
              <w:rPr>
                <w:rFonts w:hint="eastAsia"/>
                <w:color w:val="auto"/>
                <w:sz w:val="18"/>
                <w:szCs w:val="18"/>
              </w:rPr>
              <w:t>4</w:t>
            </w:r>
            <w:r>
              <w:rPr>
                <w:color w:val="auto"/>
                <w:sz w:val="18"/>
                <w:szCs w:val="18"/>
              </w:rPr>
              <w:t>.</w:t>
            </w:r>
            <w:r>
              <w:rPr>
                <w:rFonts w:hint="eastAsia"/>
                <w:color w:val="auto"/>
                <w:sz w:val="18"/>
                <w:szCs w:val="18"/>
              </w:rPr>
              <w:t>41</w:t>
            </w:r>
            <w:r>
              <w:rPr>
                <w:color w:val="auto"/>
                <w:sz w:val="18"/>
                <w:szCs w:val="18"/>
              </w:rPr>
              <w:t>±0.</w:t>
            </w:r>
            <w:r>
              <w:rPr>
                <w:rFonts w:hint="eastAsia"/>
                <w:color w:val="auto"/>
                <w:sz w:val="18"/>
                <w:szCs w:val="18"/>
              </w:rPr>
              <w:t>09</w:t>
            </w:r>
            <w:r>
              <w:rPr>
                <w:rFonts w:hint="eastAsia"/>
                <w:color w:val="auto"/>
                <w:sz w:val="18"/>
                <w:szCs w:val="18"/>
                <w:vertAlign w:val="superscript"/>
              </w:rPr>
              <w:t>ab</w:t>
            </w:r>
          </w:p>
        </w:tc>
        <w:tc>
          <w:tcPr>
            <w:tcW w:w="703" w:type="pct"/>
            <w:shd w:val="clear" w:color="auto" w:fill="FFFFFF"/>
            <w:noWrap w:val="0"/>
            <w:vAlign w:val="center"/>
          </w:tcPr>
          <w:p w14:paraId="4D3A3714">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1</w:t>
            </w:r>
            <w:r>
              <w:rPr>
                <w:rFonts w:hint="eastAsia"/>
                <w:color w:val="auto"/>
                <w:sz w:val="18"/>
                <w:szCs w:val="18"/>
              </w:rPr>
              <w:t>4</w:t>
            </w:r>
            <w:r>
              <w:rPr>
                <w:color w:val="auto"/>
                <w:sz w:val="18"/>
                <w:szCs w:val="18"/>
              </w:rPr>
              <w:t>.</w:t>
            </w:r>
            <w:r>
              <w:rPr>
                <w:rFonts w:hint="eastAsia"/>
                <w:color w:val="auto"/>
                <w:sz w:val="18"/>
                <w:szCs w:val="18"/>
              </w:rPr>
              <w:t>70</w:t>
            </w:r>
            <w:r>
              <w:rPr>
                <w:color w:val="auto"/>
                <w:sz w:val="18"/>
                <w:szCs w:val="18"/>
              </w:rPr>
              <w:t>±0.</w:t>
            </w:r>
            <w:r>
              <w:rPr>
                <w:rFonts w:hint="eastAsia"/>
                <w:color w:val="auto"/>
                <w:sz w:val="18"/>
                <w:szCs w:val="18"/>
              </w:rPr>
              <w:t>14</w:t>
            </w:r>
            <w:r>
              <w:rPr>
                <w:rFonts w:hint="eastAsia"/>
                <w:color w:val="auto"/>
                <w:sz w:val="18"/>
                <w:szCs w:val="18"/>
                <w:vertAlign w:val="superscript"/>
              </w:rPr>
              <w:t>a</w:t>
            </w:r>
          </w:p>
        </w:tc>
        <w:tc>
          <w:tcPr>
            <w:tcW w:w="505" w:type="pct"/>
            <w:shd w:val="clear" w:color="auto" w:fill="FFFFFF"/>
            <w:noWrap w:val="0"/>
            <w:vAlign w:val="center"/>
          </w:tcPr>
          <w:p w14:paraId="01B5E1DD">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color w:val="auto"/>
                <w:sz w:val="18"/>
                <w:szCs w:val="18"/>
              </w:rPr>
              <w:t>＜0.001</w:t>
            </w:r>
          </w:p>
        </w:tc>
      </w:tr>
      <w:tr w14:paraId="72494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7C9C6057">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龙骨长（cm）</w:t>
            </w:r>
          </w:p>
        </w:tc>
        <w:tc>
          <w:tcPr>
            <w:tcW w:w="810" w:type="pct"/>
            <w:shd w:val="clear" w:color="auto" w:fill="FFFFFF"/>
            <w:noWrap w:val="0"/>
            <w:vAlign w:val="center"/>
          </w:tcPr>
          <w:p w14:paraId="015B4E04">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rFonts w:hint="eastAsia"/>
                <w:color w:val="auto"/>
                <w:sz w:val="18"/>
                <w:szCs w:val="18"/>
              </w:rPr>
              <w:t>7.77</w:t>
            </w:r>
            <w:r>
              <w:rPr>
                <w:color w:val="auto"/>
                <w:sz w:val="18"/>
                <w:szCs w:val="18"/>
              </w:rPr>
              <w:t>±0.</w:t>
            </w:r>
            <w:r>
              <w:rPr>
                <w:rFonts w:hint="eastAsia"/>
                <w:color w:val="auto"/>
                <w:sz w:val="18"/>
                <w:szCs w:val="18"/>
              </w:rPr>
              <w:t>08</w:t>
            </w:r>
          </w:p>
        </w:tc>
        <w:tc>
          <w:tcPr>
            <w:tcW w:w="753" w:type="pct"/>
            <w:shd w:val="clear" w:color="auto" w:fill="FFFFFF"/>
            <w:noWrap w:val="0"/>
            <w:vAlign w:val="center"/>
          </w:tcPr>
          <w:p w14:paraId="58ED71C6">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7.88</w:t>
            </w:r>
            <w:r>
              <w:rPr>
                <w:color w:val="auto"/>
                <w:sz w:val="18"/>
                <w:szCs w:val="18"/>
              </w:rPr>
              <w:t>±0.0</w:t>
            </w:r>
            <w:r>
              <w:rPr>
                <w:rFonts w:hint="eastAsia"/>
                <w:color w:val="auto"/>
                <w:sz w:val="18"/>
                <w:szCs w:val="18"/>
              </w:rPr>
              <w:t>7</w:t>
            </w:r>
          </w:p>
        </w:tc>
        <w:tc>
          <w:tcPr>
            <w:tcW w:w="696" w:type="pct"/>
            <w:shd w:val="clear" w:color="auto" w:fill="FFFFFF"/>
            <w:noWrap w:val="0"/>
            <w:vAlign w:val="center"/>
          </w:tcPr>
          <w:p w14:paraId="16880C26">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7</w:t>
            </w:r>
            <w:r>
              <w:rPr>
                <w:color w:val="auto"/>
                <w:sz w:val="18"/>
                <w:szCs w:val="18"/>
              </w:rPr>
              <w:t>.</w:t>
            </w:r>
            <w:r>
              <w:rPr>
                <w:rFonts w:hint="eastAsia"/>
                <w:color w:val="auto"/>
                <w:sz w:val="18"/>
                <w:szCs w:val="18"/>
              </w:rPr>
              <w:t>92</w:t>
            </w:r>
            <w:r>
              <w:rPr>
                <w:color w:val="auto"/>
                <w:sz w:val="18"/>
                <w:szCs w:val="18"/>
              </w:rPr>
              <w:t>±0.</w:t>
            </w:r>
            <w:r>
              <w:rPr>
                <w:rFonts w:hint="eastAsia"/>
                <w:color w:val="auto"/>
                <w:sz w:val="18"/>
                <w:szCs w:val="18"/>
              </w:rPr>
              <w:t>07</w:t>
            </w:r>
          </w:p>
        </w:tc>
        <w:tc>
          <w:tcPr>
            <w:tcW w:w="753" w:type="pct"/>
            <w:shd w:val="clear" w:color="auto" w:fill="FFFFFF"/>
            <w:noWrap w:val="0"/>
            <w:vAlign w:val="center"/>
          </w:tcPr>
          <w:p w14:paraId="37A8605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8.00</w:t>
            </w:r>
            <w:r>
              <w:rPr>
                <w:color w:val="auto"/>
                <w:sz w:val="18"/>
                <w:szCs w:val="18"/>
              </w:rPr>
              <w:t>±0.</w:t>
            </w:r>
            <w:r>
              <w:rPr>
                <w:rFonts w:hint="eastAsia"/>
                <w:color w:val="auto"/>
                <w:sz w:val="18"/>
                <w:szCs w:val="18"/>
              </w:rPr>
              <w:t>70</w:t>
            </w:r>
          </w:p>
        </w:tc>
        <w:tc>
          <w:tcPr>
            <w:tcW w:w="703" w:type="pct"/>
            <w:shd w:val="clear" w:color="auto" w:fill="FFFFFF"/>
            <w:noWrap w:val="0"/>
            <w:vAlign w:val="center"/>
          </w:tcPr>
          <w:p w14:paraId="7A662A8A">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7.90</w:t>
            </w:r>
            <w:r>
              <w:rPr>
                <w:color w:val="auto"/>
                <w:sz w:val="18"/>
                <w:szCs w:val="18"/>
              </w:rPr>
              <w:t>±0.</w:t>
            </w:r>
            <w:r>
              <w:rPr>
                <w:rFonts w:hint="eastAsia"/>
                <w:color w:val="auto"/>
                <w:sz w:val="18"/>
                <w:szCs w:val="18"/>
              </w:rPr>
              <w:t>09</w:t>
            </w:r>
          </w:p>
        </w:tc>
        <w:tc>
          <w:tcPr>
            <w:tcW w:w="505" w:type="pct"/>
            <w:shd w:val="clear" w:color="auto" w:fill="FFFFFF"/>
            <w:noWrap w:val="0"/>
            <w:vAlign w:val="center"/>
          </w:tcPr>
          <w:p w14:paraId="3F72B30C">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0.353</w:t>
            </w:r>
          </w:p>
        </w:tc>
      </w:tr>
      <w:tr w14:paraId="505B7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01613F9D">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胫围（cm）</w:t>
            </w:r>
          </w:p>
        </w:tc>
        <w:tc>
          <w:tcPr>
            <w:tcW w:w="810" w:type="pct"/>
            <w:shd w:val="clear" w:color="auto" w:fill="FFFFFF"/>
            <w:noWrap w:val="0"/>
            <w:vAlign w:val="center"/>
          </w:tcPr>
          <w:p w14:paraId="4A3DB2DB">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rFonts w:hint="eastAsia"/>
                <w:color w:val="auto"/>
                <w:sz w:val="18"/>
                <w:szCs w:val="18"/>
              </w:rPr>
              <w:t>3.33</w:t>
            </w:r>
            <w:r>
              <w:rPr>
                <w:color w:val="auto"/>
                <w:sz w:val="18"/>
                <w:szCs w:val="18"/>
              </w:rPr>
              <w:t>±0.</w:t>
            </w:r>
            <w:r>
              <w:rPr>
                <w:rFonts w:hint="eastAsia"/>
                <w:color w:val="auto"/>
                <w:sz w:val="18"/>
                <w:szCs w:val="18"/>
              </w:rPr>
              <w:t>40</w:t>
            </w:r>
            <w:r>
              <w:rPr>
                <w:rFonts w:hint="eastAsia"/>
                <w:color w:val="auto"/>
                <w:sz w:val="18"/>
                <w:szCs w:val="18"/>
                <w:vertAlign w:val="superscript"/>
              </w:rPr>
              <w:t>b</w:t>
            </w:r>
          </w:p>
        </w:tc>
        <w:tc>
          <w:tcPr>
            <w:tcW w:w="753" w:type="pct"/>
            <w:shd w:val="clear" w:color="auto" w:fill="FFFFFF"/>
            <w:noWrap w:val="0"/>
            <w:vAlign w:val="center"/>
          </w:tcPr>
          <w:p w14:paraId="2DECD1D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3.35</w:t>
            </w:r>
            <w:r>
              <w:rPr>
                <w:color w:val="auto"/>
                <w:sz w:val="18"/>
                <w:szCs w:val="18"/>
              </w:rPr>
              <w:t>±0.</w:t>
            </w:r>
            <w:r>
              <w:rPr>
                <w:rFonts w:hint="eastAsia"/>
                <w:color w:val="auto"/>
                <w:sz w:val="18"/>
                <w:szCs w:val="18"/>
              </w:rPr>
              <w:t>03</w:t>
            </w:r>
            <w:r>
              <w:rPr>
                <w:rFonts w:hint="eastAsia"/>
                <w:color w:val="auto"/>
                <w:sz w:val="18"/>
                <w:szCs w:val="18"/>
                <w:vertAlign w:val="superscript"/>
              </w:rPr>
              <w:t>ab</w:t>
            </w:r>
          </w:p>
        </w:tc>
        <w:tc>
          <w:tcPr>
            <w:tcW w:w="696" w:type="pct"/>
            <w:shd w:val="clear" w:color="auto" w:fill="FFFFFF"/>
            <w:noWrap w:val="0"/>
            <w:vAlign w:val="center"/>
          </w:tcPr>
          <w:p w14:paraId="64222AEE">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3.44</w:t>
            </w:r>
            <w:r>
              <w:rPr>
                <w:color w:val="auto"/>
                <w:sz w:val="18"/>
                <w:szCs w:val="18"/>
              </w:rPr>
              <w:t>±0.</w:t>
            </w:r>
            <w:r>
              <w:rPr>
                <w:rFonts w:hint="eastAsia"/>
                <w:color w:val="auto"/>
                <w:sz w:val="18"/>
                <w:szCs w:val="18"/>
              </w:rPr>
              <w:t>03</w:t>
            </w:r>
            <w:r>
              <w:rPr>
                <w:rFonts w:hint="eastAsia"/>
                <w:color w:val="auto"/>
                <w:sz w:val="18"/>
                <w:szCs w:val="18"/>
                <w:vertAlign w:val="superscript"/>
              </w:rPr>
              <w:t>a</w:t>
            </w:r>
          </w:p>
        </w:tc>
        <w:tc>
          <w:tcPr>
            <w:tcW w:w="753" w:type="pct"/>
            <w:shd w:val="clear" w:color="auto" w:fill="FFFFFF"/>
            <w:noWrap w:val="0"/>
            <w:vAlign w:val="center"/>
          </w:tcPr>
          <w:p w14:paraId="40281E2A">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3.41</w:t>
            </w:r>
            <w:r>
              <w:rPr>
                <w:color w:val="auto"/>
                <w:sz w:val="18"/>
                <w:szCs w:val="18"/>
              </w:rPr>
              <w:t>±0.</w:t>
            </w:r>
            <w:r>
              <w:rPr>
                <w:rFonts w:hint="eastAsia"/>
                <w:color w:val="auto"/>
                <w:sz w:val="18"/>
                <w:szCs w:val="18"/>
              </w:rPr>
              <w:t>03</w:t>
            </w:r>
            <w:r>
              <w:rPr>
                <w:rFonts w:hint="eastAsia"/>
                <w:color w:val="auto"/>
                <w:sz w:val="18"/>
                <w:szCs w:val="18"/>
                <w:vertAlign w:val="superscript"/>
              </w:rPr>
              <w:t>ab</w:t>
            </w:r>
          </w:p>
        </w:tc>
        <w:tc>
          <w:tcPr>
            <w:tcW w:w="703" w:type="pct"/>
            <w:shd w:val="clear" w:color="auto" w:fill="FFFFFF"/>
            <w:noWrap w:val="0"/>
            <w:vAlign w:val="center"/>
          </w:tcPr>
          <w:p w14:paraId="3E85C980">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3.41</w:t>
            </w:r>
            <w:r>
              <w:rPr>
                <w:color w:val="auto"/>
                <w:sz w:val="18"/>
                <w:szCs w:val="18"/>
              </w:rPr>
              <w:t>±</w:t>
            </w:r>
            <w:r>
              <w:rPr>
                <w:rFonts w:hint="eastAsia"/>
                <w:color w:val="auto"/>
                <w:sz w:val="18"/>
                <w:szCs w:val="18"/>
              </w:rPr>
              <w:t>0.30</w:t>
            </w:r>
            <w:r>
              <w:rPr>
                <w:rFonts w:hint="eastAsia"/>
                <w:color w:val="auto"/>
                <w:sz w:val="18"/>
                <w:szCs w:val="18"/>
                <w:vertAlign w:val="superscript"/>
              </w:rPr>
              <w:t>ab</w:t>
            </w:r>
          </w:p>
        </w:tc>
        <w:tc>
          <w:tcPr>
            <w:tcW w:w="505" w:type="pct"/>
            <w:shd w:val="clear" w:color="auto" w:fill="FFFFFF"/>
            <w:noWrap w:val="0"/>
            <w:vAlign w:val="center"/>
          </w:tcPr>
          <w:p w14:paraId="707F54D4">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0.066</w:t>
            </w:r>
          </w:p>
        </w:tc>
      </w:tr>
      <w:tr w14:paraId="2E1C8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62C9E18F">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胫长(cm)</w:t>
            </w:r>
          </w:p>
        </w:tc>
        <w:tc>
          <w:tcPr>
            <w:tcW w:w="810" w:type="pct"/>
            <w:shd w:val="clear" w:color="auto" w:fill="FFFFFF"/>
            <w:noWrap w:val="0"/>
            <w:vAlign w:val="center"/>
          </w:tcPr>
          <w:p w14:paraId="2F1D1840">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rFonts w:hint="eastAsia"/>
                <w:color w:val="auto"/>
                <w:sz w:val="18"/>
                <w:szCs w:val="18"/>
              </w:rPr>
              <w:t>6.39</w:t>
            </w:r>
            <w:r>
              <w:rPr>
                <w:color w:val="auto"/>
                <w:sz w:val="18"/>
                <w:szCs w:val="18"/>
              </w:rPr>
              <w:t>±</w:t>
            </w:r>
            <w:r>
              <w:rPr>
                <w:rFonts w:hint="eastAsia"/>
                <w:color w:val="auto"/>
                <w:sz w:val="18"/>
                <w:szCs w:val="18"/>
              </w:rPr>
              <w:t>0.06</w:t>
            </w:r>
            <w:r>
              <w:rPr>
                <w:rFonts w:hint="eastAsia"/>
                <w:color w:val="auto"/>
                <w:sz w:val="18"/>
                <w:szCs w:val="18"/>
                <w:vertAlign w:val="superscript"/>
              </w:rPr>
              <w:t>ab</w:t>
            </w:r>
          </w:p>
        </w:tc>
        <w:tc>
          <w:tcPr>
            <w:tcW w:w="753" w:type="pct"/>
            <w:shd w:val="clear" w:color="auto" w:fill="FFFFFF"/>
            <w:noWrap w:val="0"/>
            <w:vAlign w:val="center"/>
          </w:tcPr>
          <w:p w14:paraId="62F26E87">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6.49</w:t>
            </w:r>
            <w:r>
              <w:rPr>
                <w:color w:val="auto"/>
                <w:sz w:val="18"/>
                <w:szCs w:val="18"/>
              </w:rPr>
              <w:t>±</w:t>
            </w:r>
            <w:r>
              <w:rPr>
                <w:rFonts w:hint="eastAsia"/>
                <w:color w:val="auto"/>
                <w:sz w:val="18"/>
                <w:szCs w:val="18"/>
              </w:rPr>
              <w:t>0.04</w:t>
            </w:r>
            <w:r>
              <w:rPr>
                <w:rFonts w:hint="eastAsia"/>
                <w:color w:val="auto"/>
                <w:sz w:val="18"/>
                <w:szCs w:val="18"/>
                <w:vertAlign w:val="superscript"/>
              </w:rPr>
              <w:t>b</w:t>
            </w:r>
          </w:p>
        </w:tc>
        <w:tc>
          <w:tcPr>
            <w:tcW w:w="696" w:type="pct"/>
            <w:shd w:val="clear" w:color="auto" w:fill="FFFFFF"/>
            <w:noWrap w:val="0"/>
            <w:vAlign w:val="center"/>
          </w:tcPr>
          <w:p w14:paraId="73F4CDD6">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6.60</w:t>
            </w:r>
            <w:r>
              <w:rPr>
                <w:color w:val="auto"/>
                <w:sz w:val="18"/>
                <w:szCs w:val="18"/>
              </w:rPr>
              <w:t>±</w:t>
            </w:r>
            <w:r>
              <w:rPr>
                <w:rFonts w:hint="eastAsia"/>
                <w:color w:val="auto"/>
                <w:sz w:val="18"/>
                <w:szCs w:val="18"/>
              </w:rPr>
              <w:t>0.06</w:t>
            </w:r>
            <w:r>
              <w:rPr>
                <w:rFonts w:hint="eastAsia"/>
                <w:color w:val="auto"/>
                <w:sz w:val="18"/>
                <w:szCs w:val="18"/>
                <w:vertAlign w:val="superscript"/>
              </w:rPr>
              <w:t>a</w:t>
            </w:r>
          </w:p>
        </w:tc>
        <w:tc>
          <w:tcPr>
            <w:tcW w:w="753" w:type="pct"/>
            <w:shd w:val="clear" w:color="auto" w:fill="FFFFFF"/>
            <w:noWrap w:val="0"/>
            <w:vAlign w:val="center"/>
          </w:tcPr>
          <w:p w14:paraId="62757A15">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6.57</w:t>
            </w:r>
            <w:r>
              <w:rPr>
                <w:color w:val="auto"/>
                <w:sz w:val="18"/>
                <w:szCs w:val="18"/>
              </w:rPr>
              <w:t>±</w:t>
            </w:r>
            <w:r>
              <w:rPr>
                <w:rFonts w:hint="eastAsia"/>
                <w:color w:val="auto"/>
                <w:sz w:val="18"/>
                <w:szCs w:val="18"/>
              </w:rPr>
              <w:t>0.05</w:t>
            </w:r>
            <w:r>
              <w:rPr>
                <w:rFonts w:hint="eastAsia"/>
                <w:color w:val="auto"/>
                <w:sz w:val="18"/>
                <w:szCs w:val="18"/>
                <w:vertAlign w:val="superscript"/>
              </w:rPr>
              <w:t>ab</w:t>
            </w:r>
          </w:p>
        </w:tc>
        <w:tc>
          <w:tcPr>
            <w:tcW w:w="703" w:type="pct"/>
            <w:shd w:val="clear" w:color="auto" w:fill="FFFFFF"/>
            <w:noWrap w:val="0"/>
            <w:vAlign w:val="center"/>
          </w:tcPr>
          <w:p w14:paraId="7015A64B">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6.61</w:t>
            </w:r>
            <w:r>
              <w:rPr>
                <w:color w:val="auto"/>
                <w:sz w:val="18"/>
                <w:szCs w:val="18"/>
              </w:rPr>
              <w:t>±</w:t>
            </w:r>
            <w:r>
              <w:rPr>
                <w:rFonts w:hint="eastAsia"/>
                <w:color w:val="auto"/>
                <w:sz w:val="18"/>
                <w:szCs w:val="18"/>
              </w:rPr>
              <w:t>0.05</w:t>
            </w:r>
            <w:r>
              <w:rPr>
                <w:rFonts w:hint="eastAsia"/>
                <w:color w:val="auto"/>
                <w:sz w:val="18"/>
                <w:szCs w:val="18"/>
                <w:vertAlign w:val="superscript"/>
              </w:rPr>
              <w:t>a</w:t>
            </w:r>
          </w:p>
        </w:tc>
        <w:tc>
          <w:tcPr>
            <w:tcW w:w="505" w:type="pct"/>
            <w:shd w:val="clear" w:color="auto" w:fill="FFFFFF"/>
            <w:noWrap w:val="0"/>
            <w:vAlign w:val="center"/>
          </w:tcPr>
          <w:p w14:paraId="7A366DB5">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0.017</w:t>
            </w:r>
          </w:p>
        </w:tc>
      </w:tr>
      <w:tr w14:paraId="715BB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7879CEA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胸深(cm)</w:t>
            </w:r>
          </w:p>
        </w:tc>
        <w:tc>
          <w:tcPr>
            <w:tcW w:w="810" w:type="pct"/>
            <w:shd w:val="clear" w:color="auto" w:fill="FFFFFF"/>
            <w:noWrap w:val="0"/>
            <w:vAlign w:val="center"/>
          </w:tcPr>
          <w:p w14:paraId="550D0A6D">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rFonts w:hint="eastAsia"/>
                <w:color w:val="auto"/>
                <w:sz w:val="18"/>
                <w:szCs w:val="18"/>
              </w:rPr>
              <w:t>7.83</w:t>
            </w:r>
            <w:r>
              <w:rPr>
                <w:color w:val="auto"/>
                <w:sz w:val="18"/>
                <w:szCs w:val="18"/>
              </w:rPr>
              <w:t>±</w:t>
            </w:r>
            <w:r>
              <w:rPr>
                <w:rFonts w:hint="eastAsia"/>
                <w:color w:val="auto"/>
                <w:sz w:val="18"/>
                <w:szCs w:val="18"/>
              </w:rPr>
              <w:t>0.07</w:t>
            </w:r>
            <w:r>
              <w:rPr>
                <w:rFonts w:hint="eastAsia"/>
                <w:color w:val="auto"/>
                <w:sz w:val="18"/>
                <w:szCs w:val="18"/>
                <w:vertAlign w:val="superscript"/>
              </w:rPr>
              <w:t>b</w:t>
            </w:r>
          </w:p>
        </w:tc>
        <w:tc>
          <w:tcPr>
            <w:tcW w:w="753" w:type="pct"/>
            <w:shd w:val="clear" w:color="auto" w:fill="FFFFFF"/>
            <w:noWrap w:val="0"/>
            <w:vAlign w:val="center"/>
          </w:tcPr>
          <w:p w14:paraId="2041FDF3">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7.64</w:t>
            </w:r>
            <w:r>
              <w:rPr>
                <w:color w:val="auto"/>
                <w:sz w:val="18"/>
                <w:szCs w:val="18"/>
              </w:rPr>
              <w:t>±</w:t>
            </w:r>
            <w:r>
              <w:rPr>
                <w:rFonts w:hint="eastAsia"/>
                <w:color w:val="auto"/>
                <w:sz w:val="18"/>
                <w:szCs w:val="18"/>
              </w:rPr>
              <w:t>0.09</w:t>
            </w:r>
            <w:r>
              <w:rPr>
                <w:rFonts w:hint="eastAsia"/>
                <w:color w:val="auto"/>
                <w:sz w:val="18"/>
                <w:szCs w:val="18"/>
                <w:vertAlign w:val="superscript"/>
              </w:rPr>
              <w:t>ab</w:t>
            </w:r>
          </w:p>
        </w:tc>
        <w:tc>
          <w:tcPr>
            <w:tcW w:w="696" w:type="pct"/>
            <w:shd w:val="clear" w:color="auto" w:fill="FFFFFF"/>
            <w:noWrap w:val="0"/>
            <w:vAlign w:val="center"/>
          </w:tcPr>
          <w:p w14:paraId="22C2D3FD">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8.99</w:t>
            </w:r>
            <w:r>
              <w:rPr>
                <w:color w:val="auto"/>
                <w:sz w:val="18"/>
                <w:szCs w:val="18"/>
              </w:rPr>
              <w:t>±</w:t>
            </w:r>
            <w:r>
              <w:rPr>
                <w:rFonts w:hint="eastAsia"/>
                <w:color w:val="auto"/>
                <w:sz w:val="18"/>
                <w:szCs w:val="18"/>
              </w:rPr>
              <w:t>0.06</w:t>
            </w:r>
            <w:r>
              <w:rPr>
                <w:rFonts w:hint="eastAsia"/>
                <w:color w:val="auto"/>
                <w:sz w:val="18"/>
                <w:szCs w:val="18"/>
                <w:vertAlign w:val="superscript"/>
              </w:rPr>
              <w:t>a</w:t>
            </w:r>
          </w:p>
        </w:tc>
        <w:tc>
          <w:tcPr>
            <w:tcW w:w="753" w:type="pct"/>
            <w:shd w:val="clear" w:color="auto" w:fill="FFFFFF"/>
            <w:noWrap w:val="0"/>
            <w:vAlign w:val="center"/>
          </w:tcPr>
          <w:p w14:paraId="050F677D">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7.79</w:t>
            </w:r>
            <w:r>
              <w:rPr>
                <w:color w:val="auto"/>
                <w:sz w:val="18"/>
                <w:szCs w:val="18"/>
              </w:rPr>
              <w:t>±</w:t>
            </w:r>
            <w:r>
              <w:rPr>
                <w:rFonts w:hint="eastAsia"/>
                <w:color w:val="auto"/>
                <w:sz w:val="18"/>
                <w:szCs w:val="18"/>
              </w:rPr>
              <w:t>0.06</w:t>
            </w:r>
            <w:r>
              <w:rPr>
                <w:rFonts w:hint="eastAsia"/>
                <w:color w:val="auto"/>
                <w:sz w:val="18"/>
                <w:szCs w:val="18"/>
                <w:vertAlign w:val="superscript"/>
              </w:rPr>
              <w:t>a</w:t>
            </w:r>
          </w:p>
        </w:tc>
        <w:tc>
          <w:tcPr>
            <w:tcW w:w="703" w:type="pct"/>
            <w:shd w:val="clear" w:color="auto" w:fill="FFFFFF"/>
            <w:noWrap w:val="0"/>
            <w:vAlign w:val="center"/>
          </w:tcPr>
          <w:p w14:paraId="22795B89">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7.89</w:t>
            </w:r>
            <w:r>
              <w:rPr>
                <w:color w:val="auto"/>
                <w:sz w:val="18"/>
                <w:szCs w:val="18"/>
              </w:rPr>
              <w:t>±</w:t>
            </w:r>
            <w:r>
              <w:rPr>
                <w:rFonts w:hint="eastAsia"/>
                <w:color w:val="auto"/>
                <w:sz w:val="18"/>
                <w:szCs w:val="18"/>
              </w:rPr>
              <w:t>0.07</w:t>
            </w:r>
            <w:r>
              <w:rPr>
                <w:rFonts w:hint="eastAsia"/>
                <w:color w:val="auto"/>
                <w:sz w:val="18"/>
                <w:szCs w:val="18"/>
                <w:vertAlign w:val="superscript"/>
              </w:rPr>
              <w:t>a</w:t>
            </w:r>
          </w:p>
        </w:tc>
        <w:tc>
          <w:tcPr>
            <w:tcW w:w="505" w:type="pct"/>
            <w:shd w:val="clear" w:color="auto" w:fill="FFFFFF"/>
            <w:noWrap w:val="0"/>
            <w:vAlign w:val="center"/>
          </w:tcPr>
          <w:p w14:paraId="5CF3A84B">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0.012</w:t>
            </w:r>
          </w:p>
        </w:tc>
      </w:tr>
      <w:tr w14:paraId="1A8A1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2738C49D">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胸宽(cm)</w:t>
            </w:r>
          </w:p>
        </w:tc>
        <w:tc>
          <w:tcPr>
            <w:tcW w:w="810" w:type="pct"/>
            <w:shd w:val="clear" w:color="auto" w:fill="FFFFFF"/>
            <w:noWrap w:val="0"/>
            <w:vAlign w:val="center"/>
          </w:tcPr>
          <w:p w14:paraId="4E9A4E13">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rFonts w:hint="eastAsia"/>
                <w:color w:val="auto"/>
                <w:sz w:val="18"/>
                <w:szCs w:val="18"/>
              </w:rPr>
              <w:t>4.84</w:t>
            </w:r>
            <w:r>
              <w:rPr>
                <w:color w:val="auto"/>
                <w:sz w:val="18"/>
                <w:szCs w:val="18"/>
              </w:rPr>
              <w:t>±</w:t>
            </w:r>
            <w:r>
              <w:rPr>
                <w:rFonts w:hint="eastAsia"/>
                <w:color w:val="auto"/>
                <w:sz w:val="18"/>
                <w:szCs w:val="18"/>
              </w:rPr>
              <w:t>0.07</w:t>
            </w:r>
            <w:r>
              <w:rPr>
                <w:rFonts w:hint="eastAsia"/>
                <w:color w:val="auto"/>
                <w:sz w:val="18"/>
                <w:szCs w:val="18"/>
                <w:vertAlign w:val="superscript"/>
              </w:rPr>
              <w:t>b</w:t>
            </w:r>
          </w:p>
        </w:tc>
        <w:tc>
          <w:tcPr>
            <w:tcW w:w="753" w:type="pct"/>
            <w:shd w:val="clear" w:color="auto" w:fill="FFFFFF"/>
            <w:noWrap w:val="0"/>
            <w:vAlign w:val="center"/>
          </w:tcPr>
          <w:p w14:paraId="54F4285F">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4.84</w:t>
            </w:r>
            <w:r>
              <w:rPr>
                <w:color w:val="auto"/>
                <w:sz w:val="18"/>
                <w:szCs w:val="18"/>
              </w:rPr>
              <w:t>±</w:t>
            </w:r>
            <w:r>
              <w:rPr>
                <w:rFonts w:hint="eastAsia"/>
                <w:color w:val="auto"/>
                <w:sz w:val="18"/>
                <w:szCs w:val="18"/>
              </w:rPr>
              <w:t>0.04</w:t>
            </w:r>
            <w:r>
              <w:rPr>
                <w:rFonts w:hint="eastAsia"/>
                <w:color w:val="auto"/>
                <w:sz w:val="18"/>
                <w:szCs w:val="18"/>
                <w:vertAlign w:val="superscript"/>
              </w:rPr>
              <w:t>b</w:t>
            </w:r>
          </w:p>
        </w:tc>
        <w:tc>
          <w:tcPr>
            <w:tcW w:w="696" w:type="pct"/>
            <w:shd w:val="clear" w:color="auto" w:fill="FFFFFF"/>
            <w:noWrap w:val="0"/>
            <w:vAlign w:val="center"/>
          </w:tcPr>
          <w:p w14:paraId="138F237F">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5.14</w:t>
            </w:r>
            <w:r>
              <w:rPr>
                <w:color w:val="auto"/>
                <w:sz w:val="18"/>
                <w:szCs w:val="18"/>
              </w:rPr>
              <w:t>±</w:t>
            </w:r>
            <w:r>
              <w:rPr>
                <w:rFonts w:hint="eastAsia"/>
                <w:color w:val="auto"/>
                <w:sz w:val="18"/>
                <w:szCs w:val="18"/>
              </w:rPr>
              <w:t>0.09</w:t>
            </w:r>
            <w:r>
              <w:rPr>
                <w:rFonts w:hint="eastAsia"/>
                <w:color w:val="auto"/>
                <w:sz w:val="18"/>
                <w:szCs w:val="18"/>
                <w:vertAlign w:val="superscript"/>
              </w:rPr>
              <w:t>a</w:t>
            </w:r>
          </w:p>
        </w:tc>
        <w:tc>
          <w:tcPr>
            <w:tcW w:w="753" w:type="pct"/>
            <w:shd w:val="clear" w:color="auto" w:fill="FFFFFF"/>
            <w:noWrap w:val="0"/>
            <w:vAlign w:val="center"/>
          </w:tcPr>
          <w:p w14:paraId="06B18A18">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4.97</w:t>
            </w:r>
            <w:r>
              <w:rPr>
                <w:color w:val="auto"/>
                <w:sz w:val="18"/>
                <w:szCs w:val="18"/>
              </w:rPr>
              <w:t>±</w:t>
            </w:r>
            <w:r>
              <w:rPr>
                <w:rFonts w:hint="eastAsia"/>
                <w:color w:val="auto"/>
                <w:sz w:val="18"/>
                <w:szCs w:val="18"/>
              </w:rPr>
              <w:t>0.08</w:t>
            </w:r>
            <w:r>
              <w:rPr>
                <w:rFonts w:hint="eastAsia"/>
                <w:color w:val="auto"/>
                <w:sz w:val="18"/>
                <w:szCs w:val="18"/>
                <w:vertAlign w:val="superscript"/>
              </w:rPr>
              <w:t>ab</w:t>
            </w:r>
          </w:p>
        </w:tc>
        <w:tc>
          <w:tcPr>
            <w:tcW w:w="703" w:type="pct"/>
            <w:shd w:val="clear" w:color="auto" w:fill="FFFFFF"/>
            <w:noWrap w:val="0"/>
            <w:vAlign w:val="center"/>
          </w:tcPr>
          <w:p w14:paraId="2FF9D5B5">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4.84</w:t>
            </w:r>
            <w:r>
              <w:rPr>
                <w:color w:val="auto"/>
                <w:sz w:val="18"/>
                <w:szCs w:val="18"/>
              </w:rPr>
              <w:t>±</w:t>
            </w:r>
            <w:r>
              <w:rPr>
                <w:rFonts w:hint="eastAsia"/>
                <w:color w:val="auto"/>
                <w:sz w:val="18"/>
                <w:szCs w:val="18"/>
              </w:rPr>
              <w:t>0.04</w:t>
            </w:r>
            <w:r>
              <w:rPr>
                <w:rFonts w:hint="eastAsia"/>
                <w:color w:val="auto"/>
                <w:sz w:val="18"/>
                <w:szCs w:val="18"/>
                <w:vertAlign w:val="superscript"/>
              </w:rPr>
              <w:t>b</w:t>
            </w:r>
          </w:p>
        </w:tc>
        <w:tc>
          <w:tcPr>
            <w:tcW w:w="505" w:type="pct"/>
            <w:shd w:val="clear" w:color="auto" w:fill="FFFFFF"/>
            <w:noWrap w:val="0"/>
            <w:vAlign w:val="center"/>
          </w:tcPr>
          <w:p w14:paraId="6F9269CA">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0.014</w:t>
            </w:r>
          </w:p>
        </w:tc>
      </w:tr>
      <w:tr w14:paraId="3C867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0" w:type="dxa"/>
            <w:left w:w="64" w:type="dxa"/>
            <w:bottom w:w="40" w:type="dxa"/>
            <w:right w:w="64" w:type="dxa"/>
          </w:tblCellMar>
        </w:tblPrEx>
        <w:trPr>
          <w:jc w:val="center"/>
        </w:trPr>
        <w:tc>
          <w:tcPr>
            <w:tcW w:w="777" w:type="pct"/>
            <w:shd w:val="clear" w:color="auto" w:fill="FFFFFF"/>
            <w:noWrap w:val="0"/>
            <w:vAlign w:val="center"/>
          </w:tcPr>
          <w:p w14:paraId="5099CB85">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盆骨宽(cm)</w:t>
            </w:r>
          </w:p>
        </w:tc>
        <w:tc>
          <w:tcPr>
            <w:tcW w:w="810" w:type="pct"/>
            <w:shd w:val="clear" w:color="auto" w:fill="FFFFFF"/>
            <w:noWrap w:val="0"/>
            <w:vAlign w:val="center"/>
          </w:tcPr>
          <w:p w14:paraId="67161444">
            <w:pPr>
              <w:pStyle w:val="2"/>
              <w:keepNext w:val="0"/>
              <w:keepLines w:val="0"/>
              <w:pageBreakBefore w:val="0"/>
              <w:widowControl w:val="0"/>
              <w:kinsoku/>
              <w:wordWrap/>
              <w:overflowPunct/>
              <w:topLinePunct w:val="0"/>
              <w:autoSpaceDE/>
              <w:autoSpaceDN/>
              <w:bidi w:val="0"/>
              <w:adjustRightInd/>
              <w:snapToGrid w:val="0"/>
              <w:spacing w:before="60" w:after="60" w:line="240" w:lineRule="auto"/>
              <w:jc w:val="center"/>
              <w:textAlignment w:val="auto"/>
              <w:rPr>
                <w:color w:val="auto"/>
                <w:sz w:val="18"/>
                <w:szCs w:val="18"/>
              </w:rPr>
            </w:pPr>
            <w:r>
              <w:rPr>
                <w:rFonts w:hint="eastAsia"/>
                <w:color w:val="auto"/>
                <w:sz w:val="18"/>
                <w:szCs w:val="18"/>
              </w:rPr>
              <w:t>6.64</w:t>
            </w:r>
            <w:r>
              <w:rPr>
                <w:color w:val="auto"/>
                <w:sz w:val="18"/>
                <w:szCs w:val="18"/>
              </w:rPr>
              <w:t>±</w:t>
            </w:r>
            <w:r>
              <w:rPr>
                <w:rFonts w:hint="eastAsia"/>
                <w:color w:val="auto"/>
                <w:sz w:val="18"/>
                <w:szCs w:val="18"/>
              </w:rPr>
              <w:t>0.07</w:t>
            </w:r>
            <w:r>
              <w:rPr>
                <w:rFonts w:hint="eastAsia"/>
                <w:color w:val="auto"/>
                <w:sz w:val="18"/>
                <w:szCs w:val="18"/>
                <w:vertAlign w:val="superscript"/>
              </w:rPr>
              <w:t>a</w:t>
            </w:r>
          </w:p>
        </w:tc>
        <w:tc>
          <w:tcPr>
            <w:tcW w:w="753" w:type="pct"/>
            <w:shd w:val="clear" w:color="auto" w:fill="FFFFFF"/>
            <w:noWrap w:val="0"/>
            <w:vAlign w:val="center"/>
          </w:tcPr>
          <w:p w14:paraId="62146503">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6.15</w:t>
            </w:r>
            <w:r>
              <w:rPr>
                <w:color w:val="auto"/>
                <w:sz w:val="18"/>
                <w:szCs w:val="18"/>
              </w:rPr>
              <w:t>±</w:t>
            </w:r>
            <w:r>
              <w:rPr>
                <w:rFonts w:hint="eastAsia"/>
                <w:color w:val="auto"/>
                <w:sz w:val="18"/>
                <w:szCs w:val="18"/>
              </w:rPr>
              <w:t>0.10</w:t>
            </w:r>
            <w:r>
              <w:rPr>
                <w:rFonts w:hint="eastAsia"/>
                <w:color w:val="auto"/>
                <w:sz w:val="18"/>
                <w:szCs w:val="18"/>
                <w:vertAlign w:val="superscript"/>
              </w:rPr>
              <w:t>b</w:t>
            </w:r>
          </w:p>
        </w:tc>
        <w:tc>
          <w:tcPr>
            <w:tcW w:w="696" w:type="pct"/>
            <w:shd w:val="clear" w:color="auto" w:fill="FFFFFF"/>
            <w:noWrap w:val="0"/>
            <w:vAlign w:val="center"/>
          </w:tcPr>
          <w:p w14:paraId="013843D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6.71</w:t>
            </w:r>
            <w:r>
              <w:rPr>
                <w:color w:val="auto"/>
                <w:sz w:val="18"/>
                <w:szCs w:val="18"/>
              </w:rPr>
              <w:t>±</w:t>
            </w:r>
            <w:r>
              <w:rPr>
                <w:rFonts w:hint="eastAsia"/>
                <w:color w:val="auto"/>
                <w:sz w:val="18"/>
                <w:szCs w:val="18"/>
              </w:rPr>
              <w:t>0.06</w:t>
            </w:r>
            <w:r>
              <w:rPr>
                <w:rFonts w:hint="eastAsia"/>
                <w:color w:val="auto"/>
                <w:sz w:val="18"/>
                <w:szCs w:val="18"/>
                <w:vertAlign w:val="superscript"/>
              </w:rPr>
              <w:t>a</w:t>
            </w:r>
          </w:p>
        </w:tc>
        <w:tc>
          <w:tcPr>
            <w:tcW w:w="753" w:type="pct"/>
            <w:shd w:val="clear" w:color="auto" w:fill="FFFFFF"/>
            <w:noWrap w:val="0"/>
            <w:vAlign w:val="center"/>
          </w:tcPr>
          <w:p w14:paraId="7DCD91F4">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6.48</w:t>
            </w:r>
            <w:r>
              <w:rPr>
                <w:color w:val="auto"/>
                <w:sz w:val="18"/>
                <w:szCs w:val="18"/>
              </w:rPr>
              <w:t>±</w:t>
            </w:r>
            <w:r>
              <w:rPr>
                <w:rFonts w:hint="eastAsia"/>
                <w:color w:val="auto"/>
                <w:sz w:val="18"/>
                <w:szCs w:val="18"/>
              </w:rPr>
              <w:t>0.07</w:t>
            </w:r>
            <w:r>
              <w:rPr>
                <w:rFonts w:hint="eastAsia"/>
                <w:color w:val="auto"/>
                <w:sz w:val="18"/>
                <w:szCs w:val="18"/>
                <w:vertAlign w:val="superscript"/>
              </w:rPr>
              <w:t>a</w:t>
            </w:r>
          </w:p>
        </w:tc>
        <w:tc>
          <w:tcPr>
            <w:tcW w:w="703" w:type="pct"/>
            <w:shd w:val="clear" w:color="auto" w:fill="FFFFFF"/>
            <w:noWrap w:val="0"/>
            <w:vAlign w:val="center"/>
          </w:tcPr>
          <w:p w14:paraId="41E8446E">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6.59</w:t>
            </w:r>
            <w:r>
              <w:rPr>
                <w:color w:val="auto"/>
                <w:sz w:val="18"/>
                <w:szCs w:val="18"/>
              </w:rPr>
              <w:t>±</w:t>
            </w:r>
            <w:r>
              <w:rPr>
                <w:rFonts w:hint="eastAsia"/>
                <w:color w:val="auto"/>
                <w:sz w:val="18"/>
                <w:szCs w:val="18"/>
              </w:rPr>
              <w:t>0.06</w:t>
            </w:r>
            <w:r>
              <w:rPr>
                <w:rFonts w:hint="eastAsia"/>
                <w:color w:val="auto"/>
                <w:sz w:val="18"/>
                <w:szCs w:val="18"/>
                <w:vertAlign w:val="superscript"/>
              </w:rPr>
              <w:t>a</w:t>
            </w:r>
          </w:p>
        </w:tc>
        <w:tc>
          <w:tcPr>
            <w:tcW w:w="505" w:type="pct"/>
            <w:shd w:val="clear" w:color="auto" w:fill="FFFFFF"/>
            <w:noWrap w:val="0"/>
            <w:vAlign w:val="center"/>
          </w:tcPr>
          <w:p w14:paraId="50EF2672">
            <w:pPr>
              <w:pStyle w:val="2"/>
              <w:keepNext w:val="0"/>
              <w:keepLines w:val="0"/>
              <w:pageBreakBefore w:val="0"/>
              <w:widowControl w:val="0"/>
              <w:kinsoku/>
              <w:wordWrap/>
              <w:overflowPunct/>
              <w:topLinePunct w:val="0"/>
              <w:autoSpaceDE/>
              <w:autoSpaceDN/>
              <w:bidi w:val="0"/>
              <w:adjustRightInd/>
              <w:snapToGrid w:val="0"/>
              <w:spacing w:before="60" w:after="60" w:line="240" w:lineRule="auto"/>
              <w:textAlignment w:val="auto"/>
              <w:rPr>
                <w:color w:val="auto"/>
                <w:sz w:val="18"/>
                <w:szCs w:val="18"/>
              </w:rPr>
            </w:pPr>
            <w:r>
              <w:rPr>
                <w:rFonts w:hint="eastAsia"/>
                <w:color w:val="auto"/>
                <w:sz w:val="18"/>
                <w:szCs w:val="18"/>
              </w:rPr>
              <w:t>＜0.001</w:t>
            </w:r>
          </w:p>
        </w:tc>
      </w:tr>
    </w:tbl>
    <w:p w14:paraId="044BF0B3">
      <w:pPr>
        <w:keepNext w:val="0"/>
        <w:keepLines w:val="0"/>
        <w:pageBreakBefore w:val="0"/>
        <w:widowControl/>
        <w:suppressLineNumbers w:val="0"/>
        <w:kinsoku/>
        <w:wordWrap/>
        <w:overflowPunct/>
        <w:topLinePunct w:val="0"/>
        <w:autoSpaceDE/>
        <w:autoSpaceDN/>
        <w:bidi w:val="0"/>
        <w:adjustRightInd/>
        <w:snapToGrid/>
        <w:spacing w:before="313" w:beforeLines="100"/>
        <w:jc w:val="center"/>
        <w:textAlignment w:val="auto"/>
        <w:rPr>
          <w:rFonts w:hint="eastAsia" w:ascii="仿宋_GB2312" w:hAnsi="仿宋_GB2312" w:eastAsia="仿宋_GB2312" w:cs="仿宋_GB2312"/>
          <w:color w:val="auto"/>
          <w:sz w:val="24"/>
          <w:szCs w:val="24"/>
          <w:lang w:eastAsia="zh-CN"/>
        </w:rPr>
      </w:pPr>
    </w:p>
    <w:p w14:paraId="007FBBC2">
      <w:pPr>
        <w:keepNext w:val="0"/>
        <w:keepLines w:val="0"/>
        <w:pageBreakBefore w:val="0"/>
        <w:widowControl/>
        <w:suppressLineNumbers w:val="0"/>
        <w:kinsoku/>
        <w:wordWrap/>
        <w:overflowPunct/>
        <w:topLinePunct w:val="0"/>
        <w:autoSpaceDE/>
        <w:autoSpaceDN/>
        <w:bidi w:val="0"/>
        <w:adjustRightInd/>
        <w:snapToGrid/>
        <w:spacing w:before="313" w:beforeLines="100"/>
        <w:jc w:val="center"/>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eastAsia="zh-CN"/>
        </w:rPr>
        <w:t>表</w:t>
      </w:r>
      <w:r>
        <w:rPr>
          <w:rFonts w:hint="eastAsia" w:ascii="仿宋_GB2312" w:hAnsi="仿宋_GB2312" w:eastAsia="仿宋_GB2312" w:cs="仿宋_GB2312"/>
          <w:color w:val="auto"/>
          <w:sz w:val="24"/>
          <w:szCs w:val="24"/>
          <w:lang w:val="en-US" w:eastAsia="zh-CN"/>
        </w:rPr>
        <w:t xml:space="preserve">4 </w:t>
      </w:r>
      <w:r>
        <w:rPr>
          <w:rFonts w:hint="eastAsia" w:ascii="仿宋_GB2312" w:hAnsi="仿宋_GB2312" w:eastAsia="仿宋_GB2312" w:cs="仿宋_GB2312"/>
          <w:color w:val="auto"/>
          <w:sz w:val="24"/>
          <w:szCs w:val="24"/>
          <w:lang w:eastAsia="zh-CN"/>
        </w:rPr>
        <w:t>饲粮粗蛋白水平对31</w:t>
      </w:r>
      <w:r>
        <w:rPr>
          <w:rFonts w:hint="eastAsia" w:ascii="仿宋_GB2312" w:hAnsi="仿宋_GB2312" w:eastAsia="仿宋_GB2312" w:cs="仿宋_GB2312"/>
          <w:color w:val="auto"/>
          <w:sz w:val="24"/>
          <w:szCs w:val="24"/>
          <w:lang w:val="en-US" w:eastAsia="zh-CN"/>
        </w:rPr>
        <w:t>～</w:t>
      </w:r>
      <w:r>
        <w:rPr>
          <w:rFonts w:hint="eastAsia" w:ascii="仿宋_GB2312" w:hAnsi="仿宋_GB2312" w:eastAsia="仿宋_GB2312" w:cs="仿宋_GB2312"/>
          <w:color w:val="auto"/>
          <w:sz w:val="24"/>
          <w:szCs w:val="24"/>
          <w:lang w:eastAsia="zh-CN"/>
        </w:rPr>
        <w:t>60日龄七百弄鸡胴体指标的影响</w:t>
      </w:r>
    </w:p>
    <w:tbl>
      <w:tblPr>
        <w:tblStyle w:val="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6"/>
        <w:gridCol w:w="1365"/>
        <w:gridCol w:w="1283"/>
        <w:gridCol w:w="1365"/>
        <w:gridCol w:w="1365"/>
        <w:gridCol w:w="1371"/>
        <w:gridCol w:w="797"/>
      </w:tblGrid>
      <w:tr w14:paraId="3A31A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86" w:type="pct"/>
            <w:vMerge w:val="restart"/>
            <w:tcBorders>
              <w:tl2br w:val="nil"/>
            </w:tcBorders>
            <w:shd w:val="clear" w:color="auto" w:fill="FFFFFF"/>
            <w:noWrap w:val="0"/>
            <w:vAlign w:val="center"/>
          </w:tcPr>
          <w:p w14:paraId="20EA2856">
            <w:pPr>
              <w:widowControl/>
              <w:spacing w:before="60" w:after="60" w:line="240" w:lineRule="auto"/>
              <w:ind w:firstLine="0" w:firstLineChars="0"/>
              <w:jc w:val="center"/>
              <w:rPr>
                <w:color w:val="auto"/>
                <w:kern w:val="0"/>
                <w:sz w:val="18"/>
                <w:szCs w:val="18"/>
              </w:rPr>
            </w:pPr>
            <w:r>
              <w:rPr>
                <w:rFonts w:hint="eastAsia"/>
                <w:color w:val="auto"/>
                <w:kern w:val="0"/>
                <w:sz w:val="18"/>
                <w:szCs w:val="18"/>
              </w:rPr>
              <w:t>项目</w:t>
            </w:r>
          </w:p>
        </w:tc>
        <w:tc>
          <w:tcPr>
            <w:tcW w:w="3678" w:type="pct"/>
            <w:gridSpan w:val="5"/>
            <w:shd w:val="clear" w:color="auto" w:fill="FFFFFF"/>
            <w:noWrap w:val="0"/>
            <w:vAlign w:val="center"/>
          </w:tcPr>
          <w:p w14:paraId="0F09C95C">
            <w:pPr>
              <w:widowControl/>
              <w:spacing w:before="60" w:after="60" w:line="240" w:lineRule="auto"/>
              <w:ind w:firstLine="0" w:firstLineChars="0"/>
              <w:jc w:val="center"/>
              <w:rPr>
                <w:color w:val="auto"/>
                <w:kern w:val="0"/>
                <w:sz w:val="18"/>
                <w:szCs w:val="18"/>
              </w:rPr>
            </w:pPr>
            <w:r>
              <w:rPr>
                <w:color w:val="auto"/>
                <w:kern w:val="0"/>
                <w:sz w:val="18"/>
                <w:szCs w:val="18"/>
              </w:rPr>
              <w:t>CP%</w:t>
            </w:r>
          </w:p>
        </w:tc>
        <w:tc>
          <w:tcPr>
            <w:tcW w:w="434" w:type="pct"/>
            <w:vMerge w:val="restart"/>
            <w:shd w:val="clear" w:color="auto" w:fill="FFFFFF"/>
            <w:noWrap w:val="0"/>
            <w:vAlign w:val="center"/>
          </w:tcPr>
          <w:p w14:paraId="093C22EA">
            <w:pPr>
              <w:widowControl/>
              <w:spacing w:before="60" w:after="60" w:line="240" w:lineRule="auto"/>
              <w:ind w:firstLine="0" w:firstLineChars="0"/>
              <w:jc w:val="center"/>
              <w:rPr>
                <w:color w:val="auto"/>
                <w:kern w:val="0"/>
                <w:sz w:val="18"/>
                <w:szCs w:val="18"/>
              </w:rPr>
            </w:pPr>
            <w:r>
              <w:rPr>
                <w:rFonts w:hint="eastAsia"/>
                <w:color w:val="auto"/>
                <w:kern w:val="0"/>
                <w:sz w:val="18"/>
                <w:szCs w:val="18"/>
              </w:rPr>
              <w:t>P值</w:t>
            </w:r>
          </w:p>
        </w:tc>
      </w:tr>
      <w:tr w14:paraId="54F17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86" w:type="pct"/>
            <w:vMerge w:val="continue"/>
            <w:tcBorders>
              <w:tl2br w:val="nil"/>
            </w:tcBorders>
            <w:shd w:val="clear" w:color="auto" w:fill="FFFFFF"/>
            <w:noWrap w:val="0"/>
            <w:vAlign w:val="center"/>
          </w:tcPr>
          <w:p w14:paraId="3C22280C">
            <w:pPr>
              <w:widowControl/>
              <w:spacing w:before="60" w:after="60" w:line="240" w:lineRule="auto"/>
              <w:ind w:firstLine="0" w:firstLineChars="0"/>
              <w:jc w:val="center"/>
              <w:rPr>
                <w:color w:val="auto"/>
                <w:kern w:val="0"/>
                <w:sz w:val="18"/>
                <w:szCs w:val="18"/>
              </w:rPr>
            </w:pPr>
          </w:p>
        </w:tc>
        <w:tc>
          <w:tcPr>
            <w:tcW w:w="744" w:type="pct"/>
            <w:shd w:val="clear" w:color="auto" w:fill="FFFFFF"/>
            <w:noWrap w:val="0"/>
            <w:vAlign w:val="center"/>
          </w:tcPr>
          <w:p w14:paraId="343FB059">
            <w:pPr>
              <w:widowControl/>
              <w:spacing w:before="60" w:after="60" w:line="240" w:lineRule="auto"/>
              <w:ind w:firstLine="0" w:firstLineChars="0"/>
              <w:jc w:val="center"/>
              <w:rPr>
                <w:color w:val="auto"/>
                <w:kern w:val="0"/>
                <w:sz w:val="18"/>
                <w:szCs w:val="18"/>
              </w:rPr>
            </w:pPr>
            <w:r>
              <w:rPr>
                <w:rFonts w:hint="eastAsia"/>
                <w:color w:val="auto"/>
                <w:kern w:val="0"/>
                <w:sz w:val="18"/>
                <w:szCs w:val="18"/>
              </w:rPr>
              <w:t>15.33</w:t>
            </w:r>
            <w:r>
              <w:rPr>
                <w:color w:val="auto"/>
                <w:kern w:val="0"/>
                <w:sz w:val="18"/>
                <w:szCs w:val="18"/>
              </w:rPr>
              <w:t>%</w:t>
            </w:r>
          </w:p>
        </w:tc>
        <w:tc>
          <w:tcPr>
            <w:tcW w:w="699" w:type="pct"/>
            <w:shd w:val="clear" w:color="auto" w:fill="FFFFFF"/>
            <w:noWrap w:val="0"/>
            <w:vAlign w:val="center"/>
          </w:tcPr>
          <w:p w14:paraId="73899E32">
            <w:pPr>
              <w:widowControl/>
              <w:spacing w:before="60" w:after="60" w:line="240" w:lineRule="auto"/>
              <w:ind w:firstLine="0" w:firstLineChars="0"/>
              <w:jc w:val="center"/>
              <w:rPr>
                <w:color w:val="auto"/>
                <w:kern w:val="0"/>
                <w:sz w:val="18"/>
                <w:szCs w:val="18"/>
              </w:rPr>
            </w:pPr>
            <w:r>
              <w:rPr>
                <w:rFonts w:hint="eastAsia"/>
                <w:color w:val="auto"/>
                <w:kern w:val="0"/>
                <w:sz w:val="18"/>
                <w:szCs w:val="18"/>
              </w:rPr>
              <w:t>16.35</w:t>
            </w:r>
            <w:r>
              <w:rPr>
                <w:color w:val="auto"/>
                <w:kern w:val="0"/>
                <w:sz w:val="18"/>
                <w:szCs w:val="18"/>
              </w:rPr>
              <w:t>%</w:t>
            </w:r>
          </w:p>
        </w:tc>
        <w:tc>
          <w:tcPr>
            <w:tcW w:w="744" w:type="pct"/>
            <w:shd w:val="clear" w:color="auto" w:fill="FFFFFF"/>
            <w:noWrap w:val="0"/>
            <w:vAlign w:val="center"/>
          </w:tcPr>
          <w:p w14:paraId="34BC0B0F">
            <w:pPr>
              <w:widowControl/>
              <w:spacing w:before="60" w:after="60" w:line="240" w:lineRule="auto"/>
              <w:ind w:firstLine="0" w:firstLineChars="0"/>
              <w:jc w:val="center"/>
              <w:rPr>
                <w:color w:val="auto"/>
                <w:kern w:val="0"/>
                <w:sz w:val="18"/>
                <w:szCs w:val="18"/>
              </w:rPr>
            </w:pPr>
            <w:r>
              <w:rPr>
                <w:rFonts w:hint="eastAsia"/>
                <w:color w:val="auto"/>
                <w:kern w:val="0"/>
                <w:sz w:val="18"/>
                <w:szCs w:val="18"/>
              </w:rPr>
              <w:t>17.39</w:t>
            </w:r>
            <w:r>
              <w:rPr>
                <w:color w:val="auto"/>
                <w:kern w:val="0"/>
                <w:sz w:val="18"/>
                <w:szCs w:val="18"/>
              </w:rPr>
              <w:t>%</w:t>
            </w:r>
          </w:p>
        </w:tc>
        <w:tc>
          <w:tcPr>
            <w:tcW w:w="744" w:type="pct"/>
            <w:shd w:val="clear" w:color="auto" w:fill="FFFFFF"/>
            <w:noWrap w:val="0"/>
            <w:vAlign w:val="center"/>
          </w:tcPr>
          <w:p w14:paraId="0BDA099C">
            <w:pPr>
              <w:widowControl/>
              <w:spacing w:before="60" w:after="60" w:line="240" w:lineRule="auto"/>
              <w:ind w:firstLine="0" w:firstLineChars="0"/>
              <w:jc w:val="center"/>
              <w:rPr>
                <w:color w:val="auto"/>
                <w:kern w:val="0"/>
                <w:sz w:val="18"/>
                <w:szCs w:val="18"/>
              </w:rPr>
            </w:pPr>
            <w:r>
              <w:rPr>
                <w:rFonts w:hint="eastAsia"/>
                <w:color w:val="auto"/>
                <w:kern w:val="0"/>
                <w:sz w:val="18"/>
                <w:szCs w:val="18"/>
              </w:rPr>
              <w:t>18.52</w:t>
            </w:r>
            <w:r>
              <w:rPr>
                <w:color w:val="auto"/>
                <w:kern w:val="0"/>
                <w:sz w:val="18"/>
                <w:szCs w:val="18"/>
              </w:rPr>
              <w:t>%</w:t>
            </w:r>
          </w:p>
        </w:tc>
        <w:tc>
          <w:tcPr>
            <w:tcW w:w="746" w:type="pct"/>
            <w:shd w:val="clear" w:color="auto" w:fill="FFFFFF"/>
            <w:noWrap w:val="0"/>
            <w:vAlign w:val="center"/>
          </w:tcPr>
          <w:p w14:paraId="4A71EA4B">
            <w:pPr>
              <w:widowControl/>
              <w:spacing w:before="60" w:after="60" w:line="240" w:lineRule="auto"/>
              <w:ind w:firstLine="0" w:firstLineChars="0"/>
              <w:jc w:val="center"/>
              <w:rPr>
                <w:color w:val="auto"/>
                <w:kern w:val="0"/>
                <w:sz w:val="18"/>
                <w:szCs w:val="18"/>
              </w:rPr>
            </w:pPr>
            <w:r>
              <w:rPr>
                <w:rFonts w:hint="eastAsia"/>
                <w:color w:val="auto"/>
                <w:kern w:val="0"/>
                <w:sz w:val="18"/>
                <w:szCs w:val="18"/>
              </w:rPr>
              <w:t>19.95</w:t>
            </w:r>
            <w:r>
              <w:rPr>
                <w:color w:val="auto"/>
                <w:kern w:val="0"/>
                <w:sz w:val="18"/>
                <w:szCs w:val="18"/>
              </w:rPr>
              <w:t>%</w:t>
            </w:r>
          </w:p>
        </w:tc>
        <w:tc>
          <w:tcPr>
            <w:tcW w:w="434" w:type="pct"/>
            <w:vMerge w:val="continue"/>
            <w:shd w:val="clear" w:color="auto" w:fill="FFFFFF"/>
            <w:noWrap w:val="0"/>
            <w:vAlign w:val="center"/>
          </w:tcPr>
          <w:p w14:paraId="482B2EEB">
            <w:pPr>
              <w:widowControl/>
              <w:spacing w:before="60" w:after="60" w:line="240" w:lineRule="auto"/>
              <w:ind w:firstLine="0" w:firstLineChars="0"/>
              <w:jc w:val="center"/>
              <w:rPr>
                <w:color w:val="auto"/>
                <w:kern w:val="0"/>
                <w:sz w:val="18"/>
                <w:szCs w:val="18"/>
              </w:rPr>
            </w:pPr>
          </w:p>
        </w:tc>
      </w:tr>
      <w:tr w14:paraId="3E194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6" w:type="pct"/>
            <w:shd w:val="clear" w:color="auto" w:fill="FFFFFF"/>
            <w:noWrap w:val="0"/>
            <w:vAlign w:val="center"/>
          </w:tcPr>
          <w:p w14:paraId="24056563">
            <w:pPr>
              <w:widowControl/>
              <w:spacing w:before="60" w:after="60" w:line="240" w:lineRule="auto"/>
              <w:ind w:firstLine="0" w:firstLineChars="0"/>
              <w:jc w:val="center"/>
              <w:rPr>
                <w:color w:val="auto"/>
                <w:kern w:val="0"/>
                <w:sz w:val="18"/>
                <w:szCs w:val="18"/>
              </w:rPr>
            </w:pPr>
            <w:r>
              <w:rPr>
                <w:rFonts w:hint="eastAsia"/>
                <w:color w:val="auto"/>
                <w:kern w:val="0"/>
                <w:sz w:val="18"/>
                <w:szCs w:val="18"/>
              </w:rPr>
              <w:t>活重（g）</w:t>
            </w:r>
          </w:p>
        </w:tc>
        <w:tc>
          <w:tcPr>
            <w:tcW w:w="744" w:type="pct"/>
            <w:shd w:val="clear" w:color="auto" w:fill="FFFFFF"/>
            <w:noWrap w:val="0"/>
            <w:vAlign w:val="center"/>
          </w:tcPr>
          <w:p w14:paraId="2E34BAEB">
            <w:pPr>
              <w:widowControl/>
              <w:spacing w:before="60" w:after="60" w:line="240" w:lineRule="auto"/>
              <w:ind w:firstLine="0" w:firstLineChars="0"/>
              <w:jc w:val="center"/>
              <w:rPr>
                <w:color w:val="auto"/>
                <w:kern w:val="0"/>
                <w:sz w:val="18"/>
                <w:szCs w:val="18"/>
              </w:rPr>
            </w:pPr>
            <w:r>
              <w:rPr>
                <w:rFonts w:hint="eastAsia"/>
                <w:color w:val="auto"/>
                <w:kern w:val="0"/>
                <w:sz w:val="18"/>
                <w:szCs w:val="18"/>
              </w:rPr>
              <w:t>667.68</w:t>
            </w:r>
            <w:r>
              <w:rPr>
                <w:color w:val="auto"/>
                <w:kern w:val="0"/>
                <w:sz w:val="18"/>
                <w:szCs w:val="18"/>
              </w:rPr>
              <w:t>±</w:t>
            </w:r>
            <w:r>
              <w:rPr>
                <w:rFonts w:hint="eastAsia"/>
                <w:color w:val="auto"/>
                <w:kern w:val="0"/>
                <w:sz w:val="18"/>
                <w:szCs w:val="18"/>
              </w:rPr>
              <w:t>10.36</w:t>
            </w:r>
          </w:p>
        </w:tc>
        <w:tc>
          <w:tcPr>
            <w:tcW w:w="699" w:type="pct"/>
            <w:shd w:val="clear" w:color="auto" w:fill="FFFFFF"/>
            <w:noWrap w:val="0"/>
            <w:vAlign w:val="center"/>
          </w:tcPr>
          <w:p w14:paraId="4717319A">
            <w:pPr>
              <w:widowControl/>
              <w:spacing w:before="60" w:after="60" w:line="240" w:lineRule="auto"/>
              <w:ind w:firstLine="0" w:firstLineChars="0"/>
              <w:jc w:val="center"/>
              <w:rPr>
                <w:color w:val="auto"/>
                <w:kern w:val="0"/>
                <w:sz w:val="18"/>
                <w:szCs w:val="18"/>
              </w:rPr>
            </w:pPr>
            <w:r>
              <w:rPr>
                <w:rFonts w:hint="eastAsia"/>
                <w:color w:val="auto"/>
                <w:kern w:val="0"/>
                <w:sz w:val="18"/>
                <w:szCs w:val="18"/>
              </w:rPr>
              <w:t>666.13</w:t>
            </w:r>
            <w:r>
              <w:rPr>
                <w:color w:val="auto"/>
                <w:kern w:val="0"/>
                <w:sz w:val="18"/>
                <w:szCs w:val="18"/>
              </w:rPr>
              <w:t>±</w:t>
            </w:r>
            <w:r>
              <w:rPr>
                <w:rFonts w:hint="eastAsia"/>
                <w:color w:val="auto"/>
                <w:kern w:val="0"/>
                <w:sz w:val="18"/>
                <w:szCs w:val="18"/>
              </w:rPr>
              <w:t>8.15</w:t>
            </w:r>
          </w:p>
        </w:tc>
        <w:tc>
          <w:tcPr>
            <w:tcW w:w="744" w:type="pct"/>
            <w:shd w:val="clear" w:color="auto" w:fill="FFFFFF"/>
            <w:noWrap w:val="0"/>
            <w:vAlign w:val="center"/>
          </w:tcPr>
          <w:p w14:paraId="279F34EB">
            <w:pPr>
              <w:widowControl/>
              <w:spacing w:before="60" w:after="60" w:line="240" w:lineRule="auto"/>
              <w:ind w:firstLine="0" w:firstLineChars="0"/>
              <w:jc w:val="center"/>
              <w:rPr>
                <w:color w:val="auto"/>
                <w:kern w:val="0"/>
                <w:sz w:val="18"/>
                <w:szCs w:val="18"/>
              </w:rPr>
            </w:pPr>
            <w:r>
              <w:rPr>
                <w:rFonts w:hint="eastAsia"/>
                <w:color w:val="auto"/>
                <w:kern w:val="0"/>
                <w:sz w:val="18"/>
                <w:szCs w:val="18"/>
              </w:rPr>
              <w:t>667.92</w:t>
            </w:r>
            <w:r>
              <w:rPr>
                <w:color w:val="auto"/>
                <w:kern w:val="0"/>
                <w:sz w:val="18"/>
                <w:szCs w:val="18"/>
              </w:rPr>
              <w:t>±</w:t>
            </w:r>
            <w:r>
              <w:rPr>
                <w:rFonts w:hint="eastAsia"/>
                <w:color w:val="auto"/>
                <w:kern w:val="0"/>
                <w:sz w:val="18"/>
                <w:szCs w:val="18"/>
              </w:rPr>
              <w:t>12.66</w:t>
            </w:r>
          </w:p>
        </w:tc>
        <w:tc>
          <w:tcPr>
            <w:tcW w:w="744" w:type="pct"/>
            <w:shd w:val="clear" w:color="auto" w:fill="FFFFFF"/>
            <w:noWrap w:val="0"/>
            <w:vAlign w:val="center"/>
          </w:tcPr>
          <w:p w14:paraId="1C06FD2B">
            <w:pPr>
              <w:widowControl/>
              <w:spacing w:before="60" w:after="60" w:line="240" w:lineRule="auto"/>
              <w:ind w:firstLine="0" w:firstLineChars="0"/>
              <w:jc w:val="center"/>
              <w:rPr>
                <w:color w:val="auto"/>
                <w:kern w:val="0"/>
                <w:sz w:val="18"/>
                <w:szCs w:val="18"/>
              </w:rPr>
            </w:pPr>
            <w:r>
              <w:rPr>
                <w:rFonts w:hint="eastAsia"/>
                <w:color w:val="auto"/>
                <w:kern w:val="0"/>
                <w:sz w:val="18"/>
                <w:szCs w:val="18"/>
              </w:rPr>
              <w:t>662.03</w:t>
            </w:r>
            <w:r>
              <w:rPr>
                <w:color w:val="auto"/>
                <w:kern w:val="0"/>
                <w:sz w:val="18"/>
                <w:szCs w:val="18"/>
              </w:rPr>
              <w:t>±</w:t>
            </w:r>
            <w:r>
              <w:rPr>
                <w:rFonts w:hint="eastAsia"/>
                <w:color w:val="auto"/>
                <w:kern w:val="0"/>
                <w:sz w:val="18"/>
                <w:szCs w:val="18"/>
              </w:rPr>
              <w:t>10.55</w:t>
            </w:r>
          </w:p>
        </w:tc>
        <w:tc>
          <w:tcPr>
            <w:tcW w:w="746" w:type="pct"/>
            <w:shd w:val="clear" w:color="auto" w:fill="FFFFFF"/>
            <w:noWrap w:val="0"/>
            <w:vAlign w:val="center"/>
          </w:tcPr>
          <w:p w14:paraId="3A141994">
            <w:pPr>
              <w:widowControl/>
              <w:spacing w:before="60" w:after="60" w:line="240" w:lineRule="auto"/>
              <w:ind w:firstLine="0" w:firstLineChars="0"/>
              <w:jc w:val="center"/>
              <w:rPr>
                <w:color w:val="auto"/>
                <w:kern w:val="0"/>
                <w:sz w:val="18"/>
                <w:szCs w:val="18"/>
              </w:rPr>
            </w:pPr>
            <w:r>
              <w:rPr>
                <w:rFonts w:hint="eastAsia"/>
                <w:color w:val="auto"/>
                <w:kern w:val="0"/>
                <w:sz w:val="18"/>
                <w:szCs w:val="18"/>
              </w:rPr>
              <w:t>688.70</w:t>
            </w:r>
            <w:r>
              <w:rPr>
                <w:color w:val="auto"/>
                <w:kern w:val="0"/>
                <w:sz w:val="18"/>
                <w:szCs w:val="18"/>
              </w:rPr>
              <w:t>±</w:t>
            </w:r>
            <w:r>
              <w:rPr>
                <w:rFonts w:hint="eastAsia"/>
                <w:color w:val="auto"/>
                <w:kern w:val="0"/>
                <w:sz w:val="18"/>
                <w:szCs w:val="18"/>
              </w:rPr>
              <w:t>12.84</w:t>
            </w:r>
          </w:p>
        </w:tc>
        <w:tc>
          <w:tcPr>
            <w:tcW w:w="434" w:type="pct"/>
            <w:shd w:val="clear" w:color="auto" w:fill="FFFFFF"/>
            <w:noWrap w:val="0"/>
            <w:vAlign w:val="center"/>
          </w:tcPr>
          <w:p w14:paraId="0C139D3F">
            <w:pPr>
              <w:widowControl/>
              <w:spacing w:before="60" w:after="60" w:line="240" w:lineRule="auto"/>
              <w:ind w:firstLine="0" w:firstLineChars="0"/>
              <w:jc w:val="center"/>
              <w:rPr>
                <w:color w:val="auto"/>
                <w:kern w:val="0"/>
                <w:sz w:val="18"/>
                <w:szCs w:val="18"/>
              </w:rPr>
            </w:pPr>
            <w:r>
              <w:rPr>
                <w:rFonts w:hint="eastAsia"/>
                <w:color w:val="auto"/>
                <w:kern w:val="0"/>
                <w:sz w:val="18"/>
                <w:szCs w:val="18"/>
              </w:rPr>
              <w:t>0.482</w:t>
            </w:r>
          </w:p>
        </w:tc>
      </w:tr>
      <w:tr w14:paraId="324F1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6" w:type="pct"/>
            <w:shd w:val="clear" w:color="auto" w:fill="FFFFFF"/>
            <w:noWrap w:val="0"/>
            <w:vAlign w:val="center"/>
          </w:tcPr>
          <w:p w14:paraId="2E02BFD4">
            <w:pPr>
              <w:widowControl/>
              <w:spacing w:before="60" w:after="60" w:line="240" w:lineRule="auto"/>
              <w:ind w:firstLine="0" w:firstLineChars="0"/>
              <w:jc w:val="center"/>
              <w:rPr>
                <w:color w:val="auto"/>
                <w:kern w:val="0"/>
                <w:sz w:val="18"/>
                <w:szCs w:val="18"/>
              </w:rPr>
            </w:pPr>
            <w:r>
              <w:rPr>
                <w:rFonts w:hint="eastAsia"/>
                <w:color w:val="auto"/>
                <w:kern w:val="0"/>
                <w:sz w:val="18"/>
                <w:szCs w:val="18"/>
              </w:rPr>
              <w:t>屠宰率（%）</w:t>
            </w:r>
          </w:p>
        </w:tc>
        <w:tc>
          <w:tcPr>
            <w:tcW w:w="744" w:type="pct"/>
            <w:shd w:val="clear" w:color="auto" w:fill="FFFFFF"/>
            <w:noWrap w:val="0"/>
            <w:vAlign w:val="center"/>
          </w:tcPr>
          <w:p w14:paraId="5FB34C5F">
            <w:pPr>
              <w:widowControl/>
              <w:spacing w:before="60" w:after="60" w:line="240" w:lineRule="auto"/>
              <w:ind w:firstLine="0" w:firstLineChars="0"/>
              <w:jc w:val="center"/>
              <w:rPr>
                <w:color w:val="auto"/>
                <w:kern w:val="0"/>
                <w:sz w:val="18"/>
                <w:szCs w:val="18"/>
              </w:rPr>
            </w:pPr>
            <w:r>
              <w:rPr>
                <w:rFonts w:hint="eastAsia"/>
                <w:color w:val="auto"/>
                <w:kern w:val="0"/>
                <w:sz w:val="18"/>
                <w:szCs w:val="18"/>
              </w:rPr>
              <w:t>88.15</w:t>
            </w:r>
            <w:r>
              <w:rPr>
                <w:color w:val="auto"/>
                <w:kern w:val="0"/>
                <w:sz w:val="18"/>
                <w:szCs w:val="18"/>
              </w:rPr>
              <w:t>±</w:t>
            </w:r>
            <w:r>
              <w:rPr>
                <w:rFonts w:hint="eastAsia"/>
                <w:color w:val="auto"/>
                <w:kern w:val="0"/>
                <w:sz w:val="18"/>
                <w:szCs w:val="18"/>
              </w:rPr>
              <w:t>0.46</w:t>
            </w:r>
          </w:p>
        </w:tc>
        <w:tc>
          <w:tcPr>
            <w:tcW w:w="699" w:type="pct"/>
            <w:shd w:val="clear" w:color="auto" w:fill="FFFFFF"/>
            <w:noWrap w:val="0"/>
            <w:vAlign w:val="center"/>
          </w:tcPr>
          <w:p w14:paraId="5E737399">
            <w:pPr>
              <w:widowControl/>
              <w:spacing w:before="60" w:after="60" w:line="240" w:lineRule="auto"/>
              <w:ind w:firstLine="0" w:firstLineChars="0"/>
              <w:jc w:val="center"/>
              <w:rPr>
                <w:color w:val="auto"/>
                <w:kern w:val="0"/>
                <w:sz w:val="18"/>
                <w:szCs w:val="18"/>
              </w:rPr>
            </w:pPr>
            <w:r>
              <w:rPr>
                <w:rFonts w:hint="eastAsia"/>
                <w:color w:val="auto"/>
                <w:kern w:val="0"/>
                <w:sz w:val="18"/>
                <w:szCs w:val="18"/>
              </w:rPr>
              <w:t>87.59</w:t>
            </w:r>
            <w:r>
              <w:rPr>
                <w:color w:val="auto"/>
                <w:kern w:val="0"/>
                <w:sz w:val="18"/>
                <w:szCs w:val="18"/>
              </w:rPr>
              <w:t>±</w:t>
            </w:r>
            <w:r>
              <w:rPr>
                <w:rFonts w:hint="eastAsia"/>
                <w:color w:val="auto"/>
                <w:kern w:val="0"/>
                <w:sz w:val="18"/>
                <w:szCs w:val="18"/>
              </w:rPr>
              <w:t>0.78</w:t>
            </w:r>
          </w:p>
        </w:tc>
        <w:tc>
          <w:tcPr>
            <w:tcW w:w="744" w:type="pct"/>
            <w:shd w:val="clear" w:color="auto" w:fill="FFFFFF"/>
            <w:noWrap w:val="0"/>
            <w:vAlign w:val="center"/>
          </w:tcPr>
          <w:p w14:paraId="48DD1D71">
            <w:pPr>
              <w:widowControl/>
              <w:spacing w:before="60" w:after="60" w:line="240" w:lineRule="auto"/>
              <w:ind w:firstLine="0" w:firstLineChars="0"/>
              <w:jc w:val="center"/>
              <w:rPr>
                <w:color w:val="auto"/>
                <w:kern w:val="0"/>
                <w:sz w:val="18"/>
                <w:szCs w:val="18"/>
              </w:rPr>
            </w:pPr>
            <w:r>
              <w:rPr>
                <w:rFonts w:hint="eastAsia"/>
                <w:color w:val="auto"/>
                <w:kern w:val="0"/>
                <w:sz w:val="18"/>
                <w:szCs w:val="18"/>
              </w:rPr>
              <w:t>86.62</w:t>
            </w:r>
            <w:r>
              <w:rPr>
                <w:color w:val="auto"/>
                <w:kern w:val="0"/>
                <w:sz w:val="18"/>
                <w:szCs w:val="18"/>
              </w:rPr>
              <w:t>±</w:t>
            </w:r>
            <w:r>
              <w:rPr>
                <w:rFonts w:hint="eastAsia"/>
                <w:color w:val="auto"/>
                <w:kern w:val="0"/>
                <w:sz w:val="18"/>
                <w:szCs w:val="18"/>
              </w:rPr>
              <w:t>0.47</w:t>
            </w:r>
          </w:p>
        </w:tc>
        <w:tc>
          <w:tcPr>
            <w:tcW w:w="744" w:type="pct"/>
            <w:shd w:val="clear" w:color="auto" w:fill="FFFFFF"/>
            <w:noWrap w:val="0"/>
            <w:vAlign w:val="center"/>
          </w:tcPr>
          <w:p w14:paraId="2D614CBF">
            <w:pPr>
              <w:widowControl/>
              <w:spacing w:before="60" w:after="60" w:line="240" w:lineRule="auto"/>
              <w:ind w:firstLine="0" w:firstLineChars="0"/>
              <w:jc w:val="center"/>
              <w:rPr>
                <w:color w:val="auto"/>
                <w:kern w:val="0"/>
                <w:sz w:val="18"/>
                <w:szCs w:val="18"/>
              </w:rPr>
            </w:pPr>
            <w:r>
              <w:rPr>
                <w:rFonts w:hint="eastAsia"/>
                <w:color w:val="auto"/>
                <w:kern w:val="0"/>
                <w:sz w:val="18"/>
                <w:szCs w:val="18"/>
              </w:rPr>
              <w:t>87.52</w:t>
            </w:r>
            <w:r>
              <w:rPr>
                <w:color w:val="auto"/>
                <w:kern w:val="0"/>
                <w:sz w:val="18"/>
                <w:szCs w:val="18"/>
              </w:rPr>
              <w:t>±</w:t>
            </w:r>
            <w:r>
              <w:rPr>
                <w:rFonts w:hint="eastAsia"/>
                <w:color w:val="auto"/>
                <w:kern w:val="0"/>
                <w:sz w:val="18"/>
                <w:szCs w:val="18"/>
              </w:rPr>
              <w:t>0.99</w:t>
            </w:r>
          </w:p>
        </w:tc>
        <w:tc>
          <w:tcPr>
            <w:tcW w:w="746" w:type="pct"/>
            <w:shd w:val="clear" w:color="auto" w:fill="FFFFFF"/>
            <w:noWrap w:val="0"/>
            <w:vAlign w:val="center"/>
          </w:tcPr>
          <w:p w14:paraId="6D72CFFB">
            <w:pPr>
              <w:widowControl/>
              <w:spacing w:before="60" w:after="60" w:line="240" w:lineRule="auto"/>
              <w:ind w:firstLine="0" w:firstLineChars="0"/>
              <w:jc w:val="center"/>
              <w:rPr>
                <w:color w:val="auto"/>
                <w:kern w:val="0"/>
                <w:sz w:val="18"/>
                <w:szCs w:val="18"/>
              </w:rPr>
            </w:pPr>
            <w:r>
              <w:rPr>
                <w:rFonts w:hint="eastAsia"/>
                <w:color w:val="auto"/>
                <w:kern w:val="0"/>
                <w:sz w:val="18"/>
                <w:szCs w:val="18"/>
              </w:rPr>
              <w:t>88.62</w:t>
            </w:r>
            <w:r>
              <w:rPr>
                <w:color w:val="auto"/>
                <w:kern w:val="0"/>
                <w:sz w:val="18"/>
                <w:szCs w:val="18"/>
              </w:rPr>
              <w:t>±</w:t>
            </w:r>
            <w:r>
              <w:rPr>
                <w:rFonts w:hint="eastAsia"/>
                <w:color w:val="auto"/>
                <w:kern w:val="0"/>
                <w:sz w:val="18"/>
                <w:szCs w:val="18"/>
              </w:rPr>
              <w:t>0.49</w:t>
            </w:r>
          </w:p>
        </w:tc>
        <w:tc>
          <w:tcPr>
            <w:tcW w:w="434" w:type="pct"/>
            <w:shd w:val="clear" w:color="auto" w:fill="FFFFFF"/>
            <w:noWrap w:val="0"/>
            <w:vAlign w:val="center"/>
          </w:tcPr>
          <w:p w14:paraId="44BAAB93">
            <w:pPr>
              <w:widowControl/>
              <w:spacing w:before="60" w:after="60" w:line="240" w:lineRule="auto"/>
              <w:ind w:firstLine="0" w:firstLineChars="0"/>
              <w:jc w:val="center"/>
              <w:rPr>
                <w:color w:val="auto"/>
                <w:kern w:val="0"/>
                <w:sz w:val="18"/>
                <w:szCs w:val="18"/>
              </w:rPr>
            </w:pPr>
            <w:r>
              <w:rPr>
                <w:rFonts w:hint="eastAsia"/>
                <w:color w:val="auto"/>
                <w:kern w:val="0"/>
                <w:sz w:val="18"/>
                <w:szCs w:val="18"/>
              </w:rPr>
              <w:t>0.381</w:t>
            </w:r>
          </w:p>
        </w:tc>
      </w:tr>
      <w:tr w14:paraId="41A24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6" w:type="pct"/>
            <w:shd w:val="clear" w:color="auto" w:fill="FFFFFF"/>
            <w:noWrap w:val="0"/>
            <w:vAlign w:val="center"/>
          </w:tcPr>
          <w:p w14:paraId="3BF70911">
            <w:pPr>
              <w:widowControl/>
              <w:spacing w:before="60" w:after="60" w:line="240" w:lineRule="auto"/>
              <w:ind w:firstLine="0" w:firstLineChars="0"/>
              <w:jc w:val="center"/>
              <w:rPr>
                <w:color w:val="auto"/>
                <w:kern w:val="0"/>
                <w:sz w:val="18"/>
                <w:szCs w:val="18"/>
              </w:rPr>
            </w:pPr>
            <w:r>
              <w:rPr>
                <w:rFonts w:hint="eastAsia"/>
                <w:color w:val="auto"/>
                <w:kern w:val="0"/>
                <w:sz w:val="18"/>
                <w:szCs w:val="18"/>
              </w:rPr>
              <w:t>半净膛率（%）</w:t>
            </w:r>
          </w:p>
        </w:tc>
        <w:tc>
          <w:tcPr>
            <w:tcW w:w="744" w:type="pct"/>
            <w:shd w:val="clear" w:color="auto" w:fill="FFFFFF"/>
            <w:noWrap w:val="0"/>
            <w:vAlign w:val="center"/>
          </w:tcPr>
          <w:p w14:paraId="2F2D31B4">
            <w:pPr>
              <w:widowControl/>
              <w:spacing w:before="60" w:after="60" w:line="240" w:lineRule="auto"/>
              <w:ind w:firstLine="0" w:firstLineChars="0"/>
              <w:jc w:val="center"/>
              <w:rPr>
                <w:color w:val="auto"/>
                <w:kern w:val="0"/>
                <w:sz w:val="18"/>
                <w:szCs w:val="18"/>
              </w:rPr>
            </w:pPr>
            <w:r>
              <w:rPr>
                <w:rFonts w:hint="eastAsia"/>
                <w:color w:val="auto"/>
                <w:kern w:val="0"/>
                <w:sz w:val="18"/>
                <w:szCs w:val="18"/>
              </w:rPr>
              <w:t>79.67</w:t>
            </w:r>
            <w:r>
              <w:rPr>
                <w:color w:val="auto"/>
                <w:kern w:val="0"/>
                <w:sz w:val="18"/>
                <w:szCs w:val="18"/>
              </w:rPr>
              <w:t>±</w:t>
            </w:r>
            <w:r>
              <w:rPr>
                <w:rFonts w:hint="eastAsia"/>
                <w:color w:val="auto"/>
                <w:kern w:val="0"/>
                <w:sz w:val="18"/>
                <w:szCs w:val="18"/>
              </w:rPr>
              <w:t>0.57</w:t>
            </w:r>
            <w:r>
              <w:rPr>
                <w:rFonts w:hint="eastAsia"/>
                <w:color w:val="auto"/>
                <w:kern w:val="0"/>
                <w:sz w:val="18"/>
                <w:szCs w:val="18"/>
                <w:vertAlign w:val="superscript"/>
              </w:rPr>
              <w:t>a</w:t>
            </w:r>
          </w:p>
        </w:tc>
        <w:tc>
          <w:tcPr>
            <w:tcW w:w="699" w:type="pct"/>
            <w:shd w:val="clear" w:color="auto" w:fill="FFFFFF"/>
            <w:noWrap w:val="0"/>
            <w:vAlign w:val="center"/>
          </w:tcPr>
          <w:p w14:paraId="302F1FA9">
            <w:pPr>
              <w:widowControl/>
              <w:spacing w:before="60" w:after="60" w:line="240" w:lineRule="auto"/>
              <w:ind w:firstLine="0" w:firstLineChars="0"/>
              <w:jc w:val="center"/>
              <w:rPr>
                <w:color w:val="auto"/>
                <w:kern w:val="0"/>
                <w:sz w:val="18"/>
                <w:szCs w:val="18"/>
              </w:rPr>
            </w:pPr>
            <w:r>
              <w:rPr>
                <w:rFonts w:hint="eastAsia"/>
                <w:color w:val="auto"/>
                <w:kern w:val="0"/>
                <w:sz w:val="18"/>
                <w:szCs w:val="18"/>
              </w:rPr>
              <w:t>78.68</w:t>
            </w:r>
            <w:r>
              <w:rPr>
                <w:color w:val="auto"/>
                <w:kern w:val="0"/>
                <w:sz w:val="18"/>
                <w:szCs w:val="18"/>
              </w:rPr>
              <w:t>±</w:t>
            </w:r>
            <w:r>
              <w:rPr>
                <w:rFonts w:hint="eastAsia"/>
                <w:color w:val="auto"/>
                <w:kern w:val="0"/>
                <w:sz w:val="18"/>
                <w:szCs w:val="18"/>
              </w:rPr>
              <w:t>0.91</w:t>
            </w:r>
            <w:r>
              <w:rPr>
                <w:rFonts w:hint="eastAsia"/>
                <w:color w:val="auto"/>
                <w:kern w:val="0"/>
                <w:sz w:val="18"/>
                <w:szCs w:val="18"/>
                <w:vertAlign w:val="superscript"/>
              </w:rPr>
              <w:t>ab</w:t>
            </w:r>
          </w:p>
        </w:tc>
        <w:tc>
          <w:tcPr>
            <w:tcW w:w="744" w:type="pct"/>
            <w:shd w:val="clear" w:color="auto" w:fill="FFFFFF"/>
            <w:noWrap w:val="0"/>
            <w:vAlign w:val="center"/>
          </w:tcPr>
          <w:p w14:paraId="56B30042">
            <w:pPr>
              <w:widowControl/>
              <w:spacing w:before="60" w:after="60" w:line="240" w:lineRule="auto"/>
              <w:ind w:firstLine="0" w:firstLineChars="0"/>
              <w:jc w:val="center"/>
              <w:rPr>
                <w:color w:val="auto"/>
                <w:kern w:val="0"/>
                <w:sz w:val="18"/>
                <w:szCs w:val="18"/>
              </w:rPr>
            </w:pPr>
            <w:r>
              <w:rPr>
                <w:rFonts w:hint="eastAsia"/>
                <w:color w:val="auto"/>
                <w:kern w:val="0"/>
                <w:sz w:val="18"/>
                <w:szCs w:val="18"/>
              </w:rPr>
              <w:t>77.23</w:t>
            </w:r>
            <w:r>
              <w:rPr>
                <w:color w:val="auto"/>
                <w:kern w:val="0"/>
                <w:sz w:val="18"/>
                <w:szCs w:val="18"/>
              </w:rPr>
              <w:t>±</w:t>
            </w:r>
            <w:r>
              <w:rPr>
                <w:rFonts w:hint="eastAsia"/>
                <w:color w:val="auto"/>
                <w:kern w:val="0"/>
                <w:sz w:val="18"/>
                <w:szCs w:val="18"/>
              </w:rPr>
              <w:t>0.41</w:t>
            </w:r>
            <w:r>
              <w:rPr>
                <w:rFonts w:hint="eastAsia"/>
                <w:color w:val="auto"/>
                <w:kern w:val="0"/>
                <w:sz w:val="18"/>
                <w:szCs w:val="18"/>
                <w:vertAlign w:val="superscript"/>
              </w:rPr>
              <w:t>b</w:t>
            </w:r>
          </w:p>
        </w:tc>
        <w:tc>
          <w:tcPr>
            <w:tcW w:w="744" w:type="pct"/>
            <w:shd w:val="clear" w:color="auto" w:fill="FFFFFF"/>
            <w:noWrap w:val="0"/>
            <w:vAlign w:val="center"/>
          </w:tcPr>
          <w:p w14:paraId="7558C1C3">
            <w:pPr>
              <w:widowControl/>
              <w:spacing w:before="60" w:after="60" w:line="240" w:lineRule="auto"/>
              <w:ind w:firstLine="0" w:firstLineChars="0"/>
              <w:jc w:val="center"/>
              <w:rPr>
                <w:color w:val="auto"/>
                <w:kern w:val="0"/>
                <w:sz w:val="18"/>
                <w:szCs w:val="18"/>
              </w:rPr>
            </w:pPr>
            <w:r>
              <w:rPr>
                <w:rFonts w:hint="eastAsia"/>
                <w:color w:val="auto"/>
                <w:kern w:val="0"/>
                <w:sz w:val="18"/>
                <w:szCs w:val="18"/>
              </w:rPr>
              <w:t>78.10</w:t>
            </w:r>
            <w:r>
              <w:rPr>
                <w:color w:val="auto"/>
                <w:kern w:val="0"/>
                <w:sz w:val="18"/>
                <w:szCs w:val="18"/>
              </w:rPr>
              <w:t>±</w:t>
            </w:r>
            <w:r>
              <w:rPr>
                <w:rFonts w:hint="eastAsia"/>
                <w:color w:val="auto"/>
                <w:kern w:val="0"/>
                <w:sz w:val="18"/>
                <w:szCs w:val="18"/>
              </w:rPr>
              <w:t>0.56</w:t>
            </w:r>
            <w:r>
              <w:rPr>
                <w:rFonts w:hint="eastAsia"/>
                <w:color w:val="auto"/>
                <w:kern w:val="0"/>
                <w:sz w:val="18"/>
                <w:szCs w:val="18"/>
                <w:vertAlign w:val="superscript"/>
              </w:rPr>
              <w:t>ab</w:t>
            </w:r>
          </w:p>
        </w:tc>
        <w:tc>
          <w:tcPr>
            <w:tcW w:w="746" w:type="pct"/>
            <w:shd w:val="clear" w:color="auto" w:fill="FFFFFF"/>
            <w:noWrap w:val="0"/>
            <w:vAlign w:val="center"/>
          </w:tcPr>
          <w:p w14:paraId="679CC625">
            <w:pPr>
              <w:widowControl/>
              <w:spacing w:before="60" w:after="60" w:line="240" w:lineRule="auto"/>
              <w:ind w:firstLine="0" w:firstLineChars="0"/>
              <w:jc w:val="center"/>
              <w:rPr>
                <w:color w:val="auto"/>
                <w:kern w:val="0"/>
                <w:sz w:val="18"/>
                <w:szCs w:val="18"/>
              </w:rPr>
            </w:pPr>
            <w:r>
              <w:rPr>
                <w:rFonts w:hint="eastAsia"/>
                <w:color w:val="auto"/>
                <w:kern w:val="0"/>
                <w:sz w:val="18"/>
                <w:szCs w:val="18"/>
              </w:rPr>
              <w:t>78.38</w:t>
            </w:r>
            <w:r>
              <w:rPr>
                <w:color w:val="auto"/>
                <w:kern w:val="0"/>
                <w:sz w:val="18"/>
                <w:szCs w:val="18"/>
              </w:rPr>
              <w:t>±</w:t>
            </w:r>
            <w:r>
              <w:rPr>
                <w:rFonts w:hint="eastAsia"/>
                <w:color w:val="auto"/>
                <w:kern w:val="0"/>
                <w:sz w:val="18"/>
                <w:szCs w:val="18"/>
              </w:rPr>
              <w:t>0.77</w:t>
            </w:r>
            <w:r>
              <w:rPr>
                <w:rFonts w:hint="eastAsia"/>
                <w:color w:val="auto"/>
                <w:kern w:val="0"/>
                <w:sz w:val="18"/>
                <w:szCs w:val="18"/>
                <w:vertAlign w:val="superscript"/>
              </w:rPr>
              <w:t>ab</w:t>
            </w:r>
          </w:p>
        </w:tc>
        <w:tc>
          <w:tcPr>
            <w:tcW w:w="434" w:type="pct"/>
            <w:shd w:val="clear" w:color="auto" w:fill="FFFFFF"/>
            <w:noWrap w:val="0"/>
            <w:vAlign w:val="center"/>
          </w:tcPr>
          <w:p w14:paraId="07C9D497">
            <w:pPr>
              <w:widowControl/>
              <w:spacing w:before="60" w:after="60" w:line="240" w:lineRule="auto"/>
              <w:ind w:firstLine="0" w:firstLineChars="0"/>
              <w:jc w:val="center"/>
              <w:rPr>
                <w:color w:val="auto"/>
                <w:kern w:val="0"/>
                <w:sz w:val="18"/>
                <w:szCs w:val="18"/>
              </w:rPr>
            </w:pPr>
            <w:r>
              <w:rPr>
                <w:rFonts w:hint="eastAsia"/>
                <w:color w:val="auto"/>
                <w:kern w:val="0"/>
                <w:sz w:val="18"/>
                <w:szCs w:val="18"/>
              </w:rPr>
              <w:t>0.167</w:t>
            </w:r>
          </w:p>
        </w:tc>
      </w:tr>
      <w:tr w14:paraId="10DC0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6" w:type="pct"/>
            <w:shd w:val="clear" w:color="auto" w:fill="FFFFFF"/>
            <w:noWrap w:val="0"/>
            <w:vAlign w:val="center"/>
          </w:tcPr>
          <w:p w14:paraId="334E6CF9">
            <w:pPr>
              <w:widowControl/>
              <w:spacing w:before="60" w:after="60" w:line="240" w:lineRule="auto"/>
              <w:ind w:firstLine="0" w:firstLineChars="0"/>
              <w:jc w:val="center"/>
              <w:rPr>
                <w:color w:val="auto"/>
                <w:kern w:val="0"/>
                <w:sz w:val="18"/>
                <w:szCs w:val="18"/>
              </w:rPr>
            </w:pPr>
            <w:r>
              <w:rPr>
                <w:rFonts w:hint="eastAsia"/>
                <w:color w:val="auto"/>
                <w:kern w:val="0"/>
                <w:sz w:val="18"/>
                <w:szCs w:val="18"/>
              </w:rPr>
              <w:t>全净膛率（%）</w:t>
            </w:r>
          </w:p>
        </w:tc>
        <w:tc>
          <w:tcPr>
            <w:tcW w:w="744" w:type="pct"/>
            <w:shd w:val="clear" w:color="auto" w:fill="FFFFFF"/>
            <w:noWrap w:val="0"/>
            <w:vAlign w:val="center"/>
          </w:tcPr>
          <w:p w14:paraId="7EAB1665">
            <w:pPr>
              <w:widowControl/>
              <w:spacing w:before="60" w:after="60" w:line="240" w:lineRule="auto"/>
              <w:ind w:firstLine="0" w:firstLineChars="0"/>
              <w:jc w:val="center"/>
              <w:rPr>
                <w:color w:val="auto"/>
                <w:kern w:val="0"/>
                <w:sz w:val="18"/>
                <w:szCs w:val="18"/>
              </w:rPr>
            </w:pPr>
            <w:r>
              <w:rPr>
                <w:rFonts w:hint="eastAsia"/>
                <w:color w:val="auto"/>
                <w:kern w:val="0"/>
                <w:sz w:val="18"/>
                <w:szCs w:val="18"/>
              </w:rPr>
              <w:t>71.89</w:t>
            </w:r>
            <w:r>
              <w:rPr>
                <w:color w:val="auto"/>
                <w:kern w:val="0"/>
                <w:sz w:val="18"/>
                <w:szCs w:val="18"/>
              </w:rPr>
              <w:t>±</w:t>
            </w:r>
            <w:r>
              <w:rPr>
                <w:rFonts w:hint="eastAsia"/>
                <w:color w:val="auto"/>
                <w:kern w:val="0"/>
                <w:sz w:val="18"/>
                <w:szCs w:val="18"/>
              </w:rPr>
              <w:t>0.62</w:t>
            </w:r>
            <w:r>
              <w:rPr>
                <w:rFonts w:hint="eastAsia"/>
                <w:color w:val="auto"/>
                <w:kern w:val="0"/>
                <w:sz w:val="18"/>
                <w:szCs w:val="18"/>
                <w:vertAlign w:val="superscript"/>
              </w:rPr>
              <w:t>ab</w:t>
            </w:r>
          </w:p>
        </w:tc>
        <w:tc>
          <w:tcPr>
            <w:tcW w:w="699" w:type="pct"/>
            <w:shd w:val="clear" w:color="auto" w:fill="FFFFFF"/>
            <w:noWrap w:val="0"/>
            <w:vAlign w:val="center"/>
          </w:tcPr>
          <w:p w14:paraId="6EE4A955">
            <w:pPr>
              <w:widowControl/>
              <w:spacing w:before="60" w:after="60" w:line="240" w:lineRule="auto"/>
              <w:ind w:firstLine="0" w:firstLineChars="0"/>
              <w:jc w:val="center"/>
              <w:rPr>
                <w:color w:val="auto"/>
                <w:kern w:val="0"/>
                <w:sz w:val="18"/>
                <w:szCs w:val="18"/>
              </w:rPr>
            </w:pPr>
            <w:r>
              <w:rPr>
                <w:rFonts w:hint="eastAsia"/>
                <w:color w:val="auto"/>
                <w:kern w:val="0"/>
                <w:sz w:val="18"/>
                <w:szCs w:val="18"/>
              </w:rPr>
              <w:t>70.45</w:t>
            </w:r>
            <w:r>
              <w:rPr>
                <w:color w:val="auto"/>
                <w:kern w:val="0"/>
                <w:sz w:val="18"/>
                <w:szCs w:val="18"/>
              </w:rPr>
              <w:t>±</w:t>
            </w:r>
            <w:r>
              <w:rPr>
                <w:rFonts w:hint="eastAsia"/>
                <w:color w:val="auto"/>
                <w:kern w:val="0"/>
                <w:sz w:val="18"/>
                <w:szCs w:val="18"/>
              </w:rPr>
              <w:t>0.71</w:t>
            </w:r>
            <w:r>
              <w:rPr>
                <w:rFonts w:hint="eastAsia"/>
                <w:color w:val="auto"/>
                <w:kern w:val="0"/>
                <w:sz w:val="18"/>
                <w:szCs w:val="18"/>
                <w:vertAlign w:val="superscript"/>
              </w:rPr>
              <w:t>b</w:t>
            </w:r>
          </w:p>
        </w:tc>
        <w:tc>
          <w:tcPr>
            <w:tcW w:w="744" w:type="pct"/>
            <w:shd w:val="clear" w:color="auto" w:fill="FFFFFF"/>
            <w:noWrap w:val="0"/>
            <w:vAlign w:val="center"/>
          </w:tcPr>
          <w:p w14:paraId="2C4EB7D9">
            <w:pPr>
              <w:widowControl/>
              <w:spacing w:before="60" w:after="60" w:line="240" w:lineRule="auto"/>
              <w:ind w:firstLine="0" w:firstLineChars="0"/>
              <w:jc w:val="center"/>
              <w:rPr>
                <w:color w:val="auto"/>
                <w:kern w:val="0"/>
                <w:sz w:val="18"/>
                <w:szCs w:val="18"/>
              </w:rPr>
            </w:pPr>
            <w:r>
              <w:rPr>
                <w:rFonts w:hint="eastAsia"/>
                <w:color w:val="auto"/>
                <w:kern w:val="0"/>
                <w:sz w:val="18"/>
                <w:szCs w:val="18"/>
              </w:rPr>
              <w:t>69.57</w:t>
            </w:r>
            <w:r>
              <w:rPr>
                <w:color w:val="auto"/>
                <w:kern w:val="0"/>
                <w:sz w:val="18"/>
                <w:szCs w:val="18"/>
              </w:rPr>
              <w:t>±</w:t>
            </w:r>
            <w:r>
              <w:rPr>
                <w:rFonts w:hint="eastAsia"/>
                <w:color w:val="auto"/>
                <w:kern w:val="0"/>
                <w:sz w:val="18"/>
                <w:szCs w:val="18"/>
              </w:rPr>
              <w:t>0.44</w:t>
            </w:r>
            <w:r>
              <w:rPr>
                <w:rFonts w:hint="eastAsia"/>
                <w:color w:val="auto"/>
                <w:kern w:val="0"/>
                <w:sz w:val="18"/>
                <w:szCs w:val="18"/>
                <w:vertAlign w:val="superscript"/>
              </w:rPr>
              <w:t>b</w:t>
            </w:r>
          </w:p>
        </w:tc>
        <w:tc>
          <w:tcPr>
            <w:tcW w:w="744" w:type="pct"/>
            <w:shd w:val="clear" w:color="auto" w:fill="FFFFFF"/>
            <w:noWrap w:val="0"/>
            <w:vAlign w:val="center"/>
          </w:tcPr>
          <w:p w14:paraId="2CAC9385">
            <w:pPr>
              <w:widowControl/>
              <w:spacing w:before="60" w:after="60" w:line="240" w:lineRule="auto"/>
              <w:ind w:firstLine="0" w:firstLineChars="0"/>
              <w:jc w:val="center"/>
              <w:rPr>
                <w:color w:val="auto"/>
                <w:kern w:val="0"/>
                <w:sz w:val="18"/>
                <w:szCs w:val="18"/>
              </w:rPr>
            </w:pPr>
            <w:r>
              <w:rPr>
                <w:rFonts w:hint="eastAsia"/>
                <w:color w:val="auto"/>
                <w:kern w:val="0"/>
                <w:sz w:val="18"/>
                <w:szCs w:val="18"/>
              </w:rPr>
              <w:t>70.37</w:t>
            </w:r>
            <w:r>
              <w:rPr>
                <w:color w:val="auto"/>
                <w:kern w:val="0"/>
                <w:sz w:val="18"/>
                <w:szCs w:val="18"/>
              </w:rPr>
              <w:t>±</w:t>
            </w:r>
            <w:r>
              <w:rPr>
                <w:rFonts w:hint="eastAsia"/>
                <w:color w:val="auto"/>
                <w:kern w:val="0"/>
                <w:sz w:val="18"/>
                <w:szCs w:val="18"/>
              </w:rPr>
              <w:t>0.45</w:t>
            </w:r>
            <w:r>
              <w:rPr>
                <w:rFonts w:hint="eastAsia"/>
                <w:color w:val="auto"/>
                <w:kern w:val="0"/>
                <w:sz w:val="18"/>
                <w:szCs w:val="18"/>
                <w:vertAlign w:val="superscript"/>
              </w:rPr>
              <w:t>b</w:t>
            </w:r>
          </w:p>
        </w:tc>
        <w:tc>
          <w:tcPr>
            <w:tcW w:w="746" w:type="pct"/>
            <w:shd w:val="clear" w:color="auto" w:fill="FFFFFF"/>
            <w:noWrap w:val="0"/>
            <w:vAlign w:val="center"/>
          </w:tcPr>
          <w:p w14:paraId="7D6617E9">
            <w:pPr>
              <w:widowControl/>
              <w:spacing w:before="60" w:after="60" w:line="240" w:lineRule="auto"/>
              <w:ind w:firstLine="0" w:firstLineChars="0"/>
              <w:jc w:val="center"/>
              <w:rPr>
                <w:color w:val="auto"/>
                <w:kern w:val="0"/>
                <w:sz w:val="18"/>
                <w:szCs w:val="18"/>
              </w:rPr>
            </w:pPr>
            <w:r>
              <w:rPr>
                <w:rFonts w:hint="eastAsia"/>
                <w:color w:val="auto"/>
                <w:kern w:val="0"/>
                <w:sz w:val="18"/>
                <w:szCs w:val="18"/>
              </w:rPr>
              <w:t>72.99</w:t>
            </w:r>
            <w:r>
              <w:rPr>
                <w:color w:val="auto"/>
                <w:kern w:val="0"/>
                <w:sz w:val="18"/>
                <w:szCs w:val="18"/>
              </w:rPr>
              <w:t>±</w:t>
            </w:r>
            <w:r>
              <w:rPr>
                <w:rFonts w:hint="eastAsia"/>
                <w:color w:val="auto"/>
                <w:kern w:val="0"/>
                <w:sz w:val="18"/>
                <w:szCs w:val="18"/>
              </w:rPr>
              <w:t>2.80</w:t>
            </w:r>
            <w:r>
              <w:rPr>
                <w:rFonts w:hint="eastAsia"/>
                <w:color w:val="auto"/>
                <w:kern w:val="0"/>
                <w:sz w:val="18"/>
                <w:szCs w:val="18"/>
                <w:vertAlign w:val="superscript"/>
              </w:rPr>
              <w:t>a</w:t>
            </w:r>
          </w:p>
        </w:tc>
        <w:tc>
          <w:tcPr>
            <w:tcW w:w="434" w:type="pct"/>
            <w:shd w:val="clear" w:color="auto" w:fill="FFFFFF"/>
            <w:noWrap w:val="0"/>
            <w:vAlign w:val="center"/>
          </w:tcPr>
          <w:p w14:paraId="3E454AE0">
            <w:pPr>
              <w:widowControl/>
              <w:spacing w:before="60" w:after="60" w:line="240" w:lineRule="auto"/>
              <w:ind w:firstLine="0" w:firstLineChars="0"/>
              <w:jc w:val="center"/>
              <w:rPr>
                <w:color w:val="auto"/>
                <w:kern w:val="0"/>
                <w:sz w:val="18"/>
                <w:szCs w:val="18"/>
              </w:rPr>
            </w:pPr>
            <w:r>
              <w:rPr>
                <w:rFonts w:hint="eastAsia"/>
                <w:color w:val="auto"/>
                <w:kern w:val="0"/>
                <w:sz w:val="18"/>
                <w:szCs w:val="18"/>
              </w:rPr>
              <w:t>0.414</w:t>
            </w:r>
          </w:p>
        </w:tc>
      </w:tr>
      <w:tr w14:paraId="7701A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6" w:type="pct"/>
            <w:shd w:val="clear" w:color="auto" w:fill="FFFFFF"/>
            <w:noWrap w:val="0"/>
            <w:vAlign w:val="center"/>
          </w:tcPr>
          <w:p w14:paraId="1777BCA7">
            <w:pPr>
              <w:widowControl/>
              <w:spacing w:before="60" w:after="60" w:line="240" w:lineRule="auto"/>
              <w:ind w:firstLine="0" w:firstLineChars="0"/>
              <w:jc w:val="center"/>
              <w:rPr>
                <w:color w:val="auto"/>
                <w:kern w:val="0"/>
                <w:sz w:val="18"/>
                <w:szCs w:val="18"/>
              </w:rPr>
            </w:pPr>
            <w:r>
              <w:rPr>
                <w:rFonts w:hint="eastAsia"/>
                <w:color w:val="auto"/>
                <w:kern w:val="0"/>
                <w:sz w:val="18"/>
                <w:szCs w:val="18"/>
              </w:rPr>
              <w:t>胸肌率（%）</w:t>
            </w:r>
          </w:p>
        </w:tc>
        <w:tc>
          <w:tcPr>
            <w:tcW w:w="744" w:type="pct"/>
            <w:shd w:val="clear" w:color="auto" w:fill="FFFFFF"/>
            <w:noWrap w:val="0"/>
            <w:vAlign w:val="center"/>
          </w:tcPr>
          <w:p w14:paraId="0DC52360">
            <w:pPr>
              <w:widowControl/>
              <w:spacing w:before="60" w:after="60" w:line="240" w:lineRule="auto"/>
              <w:ind w:firstLine="0" w:firstLineChars="0"/>
              <w:jc w:val="center"/>
              <w:rPr>
                <w:color w:val="auto"/>
                <w:kern w:val="0"/>
                <w:sz w:val="18"/>
                <w:szCs w:val="18"/>
              </w:rPr>
            </w:pPr>
            <w:r>
              <w:rPr>
                <w:rFonts w:hint="eastAsia"/>
                <w:color w:val="auto"/>
                <w:kern w:val="0"/>
                <w:sz w:val="18"/>
                <w:szCs w:val="18"/>
              </w:rPr>
              <w:t>9.78</w:t>
            </w:r>
            <w:r>
              <w:rPr>
                <w:color w:val="auto"/>
                <w:kern w:val="0"/>
                <w:sz w:val="18"/>
                <w:szCs w:val="18"/>
              </w:rPr>
              <w:t>±</w:t>
            </w:r>
            <w:r>
              <w:rPr>
                <w:rFonts w:hint="eastAsia"/>
                <w:color w:val="auto"/>
                <w:kern w:val="0"/>
                <w:sz w:val="18"/>
                <w:szCs w:val="18"/>
              </w:rPr>
              <w:t>0.87</w:t>
            </w:r>
          </w:p>
        </w:tc>
        <w:tc>
          <w:tcPr>
            <w:tcW w:w="699" w:type="pct"/>
            <w:shd w:val="clear" w:color="auto" w:fill="FFFFFF"/>
            <w:noWrap w:val="0"/>
            <w:vAlign w:val="center"/>
          </w:tcPr>
          <w:p w14:paraId="10CF4890">
            <w:pPr>
              <w:widowControl/>
              <w:spacing w:before="60" w:after="60" w:line="240" w:lineRule="auto"/>
              <w:ind w:firstLine="0" w:firstLineChars="0"/>
              <w:jc w:val="center"/>
              <w:rPr>
                <w:color w:val="auto"/>
                <w:kern w:val="0"/>
                <w:sz w:val="18"/>
                <w:szCs w:val="18"/>
              </w:rPr>
            </w:pPr>
            <w:r>
              <w:rPr>
                <w:rFonts w:hint="eastAsia"/>
                <w:color w:val="auto"/>
                <w:kern w:val="0"/>
                <w:sz w:val="18"/>
                <w:szCs w:val="18"/>
              </w:rPr>
              <w:t>9.85</w:t>
            </w:r>
            <w:r>
              <w:rPr>
                <w:color w:val="auto"/>
                <w:kern w:val="0"/>
                <w:sz w:val="18"/>
                <w:szCs w:val="18"/>
              </w:rPr>
              <w:t>±</w:t>
            </w:r>
            <w:r>
              <w:rPr>
                <w:rFonts w:hint="eastAsia"/>
                <w:color w:val="auto"/>
                <w:kern w:val="0"/>
                <w:sz w:val="18"/>
                <w:szCs w:val="18"/>
              </w:rPr>
              <w:t>0.91</w:t>
            </w:r>
          </w:p>
        </w:tc>
        <w:tc>
          <w:tcPr>
            <w:tcW w:w="744" w:type="pct"/>
            <w:shd w:val="clear" w:color="auto" w:fill="FFFFFF"/>
            <w:noWrap w:val="0"/>
            <w:vAlign w:val="center"/>
          </w:tcPr>
          <w:p w14:paraId="752BC5A2">
            <w:pPr>
              <w:widowControl/>
              <w:spacing w:before="60" w:after="60" w:line="240" w:lineRule="auto"/>
              <w:ind w:firstLine="0" w:firstLineChars="0"/>
              <w:jc w:val="center"/>
              <w:rPr>
                <w:color w:val="auto"/>
                <w:kern w:val="0"/>
                <w:sz w:val="18"/>
                <w:szCs w:val="18"/>
              </w:rPr>
            </w:pPr>
            <w:r>
              <w:rPr>
                <w:rFonts w:hint="eastAsia"/>
                <w:color w:val="auto"/>
                <w:kern w:val="0"/>
                <w:sz w:val="18"/>
                <w:szCs w:val="18"/>
              </w:rPr>
              <w:t>10.08</w:t>
            </w:r>
            <w:r>
              <w:rPr>
                <w:color w:val="auto"/>
                <w:kern w:val="0"/>
                <w:sz w:val="18"/>
                <w:szCs w:val="18"/>
              </w:rPr>
              <w:t>±</w:t>
            </w:r>
            <w:r>
              <w:rPr>
                <w:rFonts w:hint="eastAsia"/>
                <w:color w:val="auto"/>
                <w:kern w:val="0"/>
                <w:sz w:val="18"/>
                <w:szCs w:val="18"/>
              </w:rPr>
              <w:t>0.37</w:t>
            </w:r>
          </w:p>
        </w:tc>
        <w:tc>
          <w:tcPr>
            <w:tcW w:w="744" w:type="pct"/>
            <w:shd w:val="clear" w:color="auto" w:fill="FFFFFF"/>
            <w:noWrap w:val="0"/>
            <w:vAlign w:val="center"/>
          </w:tcPr>
          <w:p w14:paraId="238C2DA1">
            <w:pPr>
              <w:widowControl/>
              <w:spacing w:before="60" w:after="60" w:line="240" w:lineRule="auto"/>
              <w:ind w:firstLine="0" w:firstLineChars="0"/>
              <w:jc w:val="center"/>
              <w:rPr>
                <w:color w:val="auto"/>
                <w:kern w:val="0"/>
                <w:sz w:val="18"/>
                <w:szCs w:val="18"/>
              </w:rPr>
            </w:pPr>
            <w:r>
              <w:rPr>
                <w:rFonts w:hint="eastAsia"/>
                <w:color w:val="auto"/>
                <w:kern w:val="0"/>
                <w:sz w:val="18"/>
                <w:szCs w:val="18"/>
              </w:rPr>
              <w:t>10.19</w:t>
            </w:r>
            <w:r>
              <w:rPr>
                <w:color w:val="auto"/>
                <w:kern w:val="0"/>
                <w:sz w:val="18"/>
                <w:szCs w:val="18"/>
              </w:rPr>
              <w:t>±</w:t>
            </w:r>
            <w:r>
              <w:rPr>
                <w:rFonts w:hint="eastAsia"/>
                <w:color w:val="auto"/>
                <w:kern w:val="0"/>
                <w:sz w:val="18"/>
                <w:szCs w:val="18"/>
              </w:rPr>
              <w:t>0.40</w:t>
            </w:r>
          </w:p>
        </w:tc>
        <w:tc>
          <w:tcPr>
            <w:tcW w:w="746" w:type="pct"/>
            <w:shd w:val="clear" w:color="auto" w:fill="FFFFFF"/>
            <w:noWrap w:val="0"/>
            <w:vAlign w:val="center"/>
          </w:tcPr>
          <w:p w14:paraId="78AE12D3">
            <w:pPr>
              <w:widowControl/>
              <w:spacing w:before="60" w:after="60" w:line="240" w:lineRule="auto"/>
              <w:ind w:firstLine="0" w:firstLineChars="0"/>
              <w:jc w:val="center"/>
              <w:rPr>
                <w:color w:val="auto"/>
                <w:kern w:val="0"/>
                <w:sz w:val="18"/>
                <w:szCs w:val="18"/>
              </w:rPr>
            </w:pPr>
            <w:r>
              <w:rPr>
                <w:rFonts w:hint="eastAsia"/>
                <w:color w:val="auto"/>
                <w:kern w:val="0"/>
                <w:sz w:val="18"/>
                <w:szCs w:val="18"/>
              </w:rPr>
              <w:t>9.82</w:t>
            </w:r>
            <w:r>
              <w:rPr>
                <w:color w:val="auto"/>
                <w:kern w:val="0"/>
                <w:sz w:val="18"/>
                <w:szCs w:val="18"/>
              </w:rPr>
              <w:t>±</w:t>
            </w:r>
            <w:r>
              <w:rPr>
                <w:rFonts w:hint="eastAsia"/>
                <w:color w:val="auto"/>
                <w:kern w:val="0"/>
                <w:sz w:val="18"/>
                <w:szCs w:val="18"/>
              </w:rPr>
              <w:t>0.45</w:t>
            </w:r>
          </w:p>
        </w:tc>
        <w:tc>
          <w:tcPr>
            <w:tcW w:w="434" w:type="pct"/>
            <w:shd w:val="clear" w:color="auto" w:fill="FFFFFF"/>
            <w:noWrap w:val="0"/>
            <w:vAlign w:val="center"/>
          </w:tcPr>
          <w:p w14:paraId="07EB1B9D">
            <w:pPr>
              <w:widowControl/>
              <w:spacing w:before="60" w:after="60" w:line="240" w:lineRule="auto"/>
              <w:ind w:firstLine="0" w:firstLineChars="0"/>
              <w:jc w:val="center"/>
              <w:rPr>
                <w:color w:val="auto"/>
                <w:kern w:val="0"/>
                <w:sz w:val="18"/>
                <w:szCs w:val="18"/>
              </w:rPr>
            </w:pPr>
            <w:r>
              <w:rPr>
                <w:rFonts w:hint="eastAsia"/>
                <w:color w:val="auto"/>
                <w:kern w:val="0"/>
                <w:sz w:val="18"/>
                <w:szCs w:val="18"/>
              </w:rPr>
              <w:t>0.989</w:t>
            </w:r>
          </w:p>
        </w:tc>
      </w:tr>
      <w:tr w14:paraId="7BD83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6" w:type="pct"/>
            <w:shd w:val="clear" w:color="auto" w:fill="FFFFFF"/>
            <w:noWrap w:val="0"/>
            <w:vAlign w:val="center"/>
          </w:tcPr>
          <w:p w14:paraId="32A42FED">
            <w:pPr>
              <w:widowControl/>
              <w:spacing w:before="60" w:after="60" w:line="240" w:lineRule="auto"/>
              <w:ind w:firstLine="0" w:firstLineChars="0"/>
              <w:jc w:val="center"/>
              <w:rPr>
                <w:color w:val="auto"/>
                <w:kern w:val="0"/>
                <w:sz w:val="18"/>
                <w:szCs w:val="18"/>
              </w:rPr>
            </w:pPr>
            <w:r>
              <w:rPr>
                <w:rFonts w:hint="eastAsia"/>
                <w:color w:val="auto"/>
                <w:kern w:val="0"/>
                <w:sz w:val="18"/>
                <w:szCs w:val="18"/>
              </w:rPr>
              <w:t>腿肌率（%）</w:t>
            </w:r>
          </w:p>
        </w:tc>
        <w:tc>
          <w:tcPr>
            <w:tcW w:w="744" w:type="pct"/>
            <w:shd w:val="clear" w:color="auto" w:fill="FFFFFF"/>
            <w:noWrap w:val="0"/>
            <w:vAlign w:val="center"/>
          </w:tcPr>
          <w:p w14:paraId="68A2A5BD">
            <w:pPr>
              <w:widowControl/>
              <w:spacing w:before="60" w:after="60" w:line="240" w:lineRule="auto"/>
              <w:ind w:firstLine="0" w:firstLineChars="0"/>
              <w:jc w:val="center"/>
              <w:rPr>
                <w:color w:val="auto"/>
                <w:kern w:val="0"/>
                <w:sz w:val="18"/>
                <w:szCs w:val="18"/>
              </w:rPr>
            </w:pPr>
            <w:r>
              <w:rPr>
                <w:rFonts w:hint="eastAsia"/>
                <w:color w:val="auto"/>
                <w:kern w:val="0"/>
                <w:sz w:val="18"/>
                <w:szCs w:val="18"/>
              </w:rPr>
              <w:t>16.56</w:t>
            </w:r>
            <w:r>
              <w:rPr>
                <w:color w:val="auto"/>
                <w:kern w:val="0"/>
                <w:sz w:val="18"/>
                <w:szCs w:val="18"/>
              </w:rPr>
              <w:t>±</w:t>
            </w:r>
            <w:r>
              <w:rPr>
                <w:rFonts w:hint="eastAsia"/>
                <w:color w:val="auto"/>
                <w:kern w:val="0"/>
                <w:sz w:val="18"/>
                <w:szCs w:val="18"/>
              </w:rPr>
              <w:t>0.20</w:t>
            </w:r>
          </w:p>
        </w:tc>
        <w:tc>
          <w:tcPr>
            <w:tcW w:w="699" w:type="pct"/>
            <w:shd w:val="clear" w:color="auto" w:fill="FFFFFF"/>
            <w:noWrap w:val="0"/>
            <w:vAlign w:val="center"/>
          </w:tcPr>
          <w:p w14:paraId="7A1A8FB8">
            <w:pPr>
              <w:widowControl/>
              <w:spacing w:before="60" w:after="60" w:line="240" w:lineRule="auto"/>
              <w:ind w:firstLine="0" w:firstLineChars="0"/>
              <w:jc w:val="center"/>
              <w:rPr>
                <w:color w:val="auto"/>
                <w:kern w:val="0"/>
                <w:sz w:val="18"/>
                <w:szCs w:val="18"/>
              </w:rPr>
            </w:pPr>
            <w:r>
              <w:rPr>
                <w:rFonts w:hint="eastAsia"/>
                <w:color w:val="auto"/>
                <w:kern w:val="0"/>
                <w:sz w:val="18"/>
                <w:szCs w:val="18"/>
              </w:rPr>
              <w:t>16.68</w:t>
            </w:r>
            <w:r>
              <w:rPr>
                <w:color w:val="auto"/>
                <w:kern w:val="0"/>
                <w:sz w:val="18"/>
                <w:szCs w:val="18"/>
              </w:rPr>
              <w:t>±</w:t>
            </w:r>
            <w:r>
              <w:rPr>
                <w:rFonts w:hint="eastAsia"/>
                <w:color w:val="auto"/>
                <w:kern w:val="0"/>
                <w:sz w:val="18"/>
                <w:szCs w:val="18"/>
              </w:rPr>
              <w:t>0.19</w:t>
            </w:r>
          </w:p>
        </w:tc>
        <w:tc>
          <w:tcPr>
            <w:tcW w:w="744" w:type="pct"/>
            <w:shd w:val="clear" w:color="auto" w:fill="FFFFFF"/>
            <w:noWrap w:val="0"/>
            <w:vAlign w:val="center"/>
          </w:tcPr>
          <w:p w14:paraId="5ADFFA02">
            <w:pPr>
              <w:widowControl/>
              <w:spacing w:before="60" w:after="60" w:line="240" w:lineRule="auto"/>
              <w:ind w:firstLine="0" w:firstLineChars="0"/>
              <w:jc w:val="center"/>
              <w:rPr>
                <w:color w:val="auto"/>
                <w:kern w:val="0"/>
                <w:sz w:val="18"/>
                <w:szCs w:val="18"/>
              </w:rPr>
            </w:pPr>
            <w:r>
              <w:rPr>
                <w:rFonts w:hint="eastAsia"/>
                <w:color w:val="auto"/>
                <w:kern w:val="0"/>
                <w:sz w:val="18"/>
                <w:szCs w:val="18"/>
              </w:rPr>
              <w:t>16.12</w:t>
            </w:r>
            <w:r>
              <w:rPr>
                <w:color w:val="auto"/>
                <w:kern w:val="0"/>
                <w:sz w:val="18"/>
                <w:szCs w:val="18"/>
              </w:rPr>
              <w:t>±</w:t>
            </w:r>
            <w:r>
              <w:rPr>
                <w:rFonts w:hint="eastAsia"/>
                <w:color w:val="auto"/>
                <w:kern w:val="0"/>
                <w:sz w:val="18"/>
                <w:szCs w:val="18"/>
              </w:rPr>
              <w:t>0.17</w:t>
            </w:r>
          </w:p>
        </w:tc>
        <w:tc>
          <w:tcPr>
            <w:tcW w:w="744" w:type="pct"/>
            <w:shd w:val="clear" w:color="auto" w:fill="FFFFFF"/>
            <w:noWrap w:val="0"/>
            <w:vAlign w:val="center"/>
          </w:tcPr>
          <w:p w14:paraId="5CD41487">
            <w:pPr>
              <w:widowControl/>
              <w:spacing w:before="60" w:after="60" w:line="240" w:lineRule="auto"/>
              <w:ind w:firstLine="0" w:firstLineChars="0"/>
              <w:jc w:val="center"/>
              <w:rPr>
                <w:color w:val="auto"/>
                <w:kern w:val="0"/>
                <w:sz w:val="18"/>
                <w:szCs w:val="18"/>
              </w:rPr>
            </w:pPr>
            <w:r>
              <w:rPr>
                <w:rFonts w:hint="eastAsia"/>
                <w:color w:val="auto"/>
                <w:kern w:val="0"/>
                <w:sz w:val="18"/>
                <w:szCs w:val="18"/>
              </w:rPr>
              <w:t>17.42</w:t>
            </w:r>
            <w:r>
              <w:rPr>
                <w:color w:val="auto"/>
                <w:kern w:val="0"/>
                <w:sz w:val="18"/>
                <w:szCs w:val="18"/>
              </w:rPr>
              <w:t>±</w:t>
            </w:r>
            <w:r>
              <w:rPr>
                <w:rFonts w:hint="eastAsia"/>
                <w:color w:val="auto"/>
                <w:kern w:val="0"/>
                <w:sz w:val="18"/>
                <w:szCs w:val="18"/>
              </w:rPr>
              <w:t>0.18</w:t>
            </w:r>
          </w:p>
        </w:tc>
        <w:tc>
          <w:tcPr>
            <w:tcW w:w="746" w:type="pct"/>
            <w:shd w:val="clear" w:color="auto" w:fill="FFFFFF"/>
            <w:noWrap w:val="0"/>
            <w:vAlign w:val="center"/>
          </w:tcPr>
          <w:p w14:paraId="51074116">
            <w:pPr>
              <w:widowControl/>
              <w:spacing w:before="60" w:after="60" w:line="240" w:lineRule="auto"/>
              <w:ind w:firstLine="0" w:firstLineChars="0"/>
              <w:jc w:val="center"/>
              <w:rPr>
                <w:color w:val="auto"/>
                <w:kern w:val="0"/>
                <w:sz w:val="18"/>
                <w:szCs w:val="18"/>
              </w:rPr>
            </w:pPr>
            <w:r>
              <w:rPr>
                <w:rFonts w:hint="eastAsia"/>
                <w:color w:val="auto"/>
                <w:kern w:val="0"/>
                <w:sz w:val="18"/>
                <w:szCs w:val="18"/>
              </w:rPr>
              <w:t>16.82</w:t>
            </w:r>
            <w:r>
              <w:rPr>
                <w:color w:val="auto"/>
                <w:kern w:val="0"/>
                <w:sz w:val="18"/>
                <w:szCs w:val="18"/>
              </w:rPr>
              <w:t>±</w:t>
            </w:r>
            <w:r>
              <w:rPr>
                <w:rFonts w:hint="eastAsia"/>
                <w:color w:val="auto"/>
                <w:kern w:val="0"/>
                <w:sz w:val="18"/>
                <w:szCs w:val="18"/>
              </w:rPr>
              <w:t>0.30</w:t>
            </w:r>
          </w:p>
        </w:tc>
        <w:tc>
          <w:tcPr>
            <w:tcW w:w="434" w:type="pct"/>
            <w:shd w:val="clear" w:color="auto" w:fill="FFFFFF"/>
            <w:noWrap w:val="0"/>
            <w:vAlign w:val="center"/>
          </w:tcPr>
          <w:p w14:paraId="0459EC61">
            <w:pPr>
              <w:widowControl/>
              <w:spacing w:before="60" w:after="60" w:line="240" w:lineRule="auto"/>
              <w:ind w:firstLine="0" w:firstLineChars="0"/>
              <w:jc w:val="center"/>
              <w:rPr>
                <w:color w:val="auto"/>
                <w:kern w:val="0"/>
                <w:sz w:val="18"/>
                <w:szCs w:val="18"/>
              </w:rPr>
            </w:pPr>
            <w:r>
              <w:rPr>
                <w:rFonts w:hint="eastAsia"/>
                <w:color w:val="auto"/>
                <w:kern w:val="0"/>
                <w:sz w:val="18"/>
                <w:szCs w:val="18"/>
              </w:rPr>
              <w:t>0.328</w:t>
            </w:r>
          </w:p>
        </w:tc>
      </w:tr>
      <w:tr w14:paraId="29F9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6" w:type="pct"/>
            <w:shd w:val="clear" w:color="auto" w:fill="FFFFFF"/>
            <w:noWrap w:val="0"/>
            <w:vAlign w:val="center"/>
          </w:tcPr>
          <w:p w14:paraId="4D005B57">
            <w:pPr>
              <w:widowControl/>
              <w:spacing w:before="60" w:after="60" w:line="240" w:lineRule="auto"/>
              <w:ind w:firstLine="0" w:firstLineChars="0"/>
              <w:jc w:val="center"/>
              <w:rPr>
                <w:color w:val="auto"/>
                <w:kern w:val="0"/>
                <w:sz w:val="18"/>
                <w:szCs w:val="18"/>
              </w:rPr>
            </w:pPr>
            <w:r>
              <w:rPr>
                <w:rFonts w:hint="eastAsia"/>
                <w:color w:val="auto"/>
                <w:kern w:val="0"/>
                <w:sz w:val="18"/>
                <w:szCs w:val="18"/>
              </w:rPr>
              <w:t>腹脂率（%）</w:t>
            </w:r>
          </w:p>
        </w:tc>
        <w:tc>
          <w:tcPr>
            <w:tcW w:w="744" w:type="pct"/>
            <w:shd w:val="clear" w:color="auto" w:fill="FFFFFF"/>
            <w:noWrap w:val="0"/>
            <w:vAlign w:val="center"/>
          </w:tcPr>
          <w:p w14:paraId="643AF899">
            <w:pPr>
              <w:widowControl/>
              <w:spacing w:before="60" w:after="60" w:line="240" w:lineRule="auto"/>
              <w:ind w:firstLine="0" w:firstLineChars="0"/>
              <w:jc w:val="center"/>
              <w:rPr>
                <w:color w:val="auto"/>
                <w:kern w:val="0"/>
                <w:sz w:val="18"/>
                <w:szCs w:val="18"/>
              </w:rPr>
            </w:pPr>
            <w:r>
              <w:rPr>
                <w:rFonts w:hint="eastAsia"/>
                <w:color w:val="auto"/>
                <w:kern w:val="0"/>
                <w:sz w:val="18"/>
                <w:szCs w:val="18"/>
              </w:rPr>
              <w:t>2.61</w:t>
            </w:r>
            <w:r>
              <w:rPr>
                <w:color w:val="auto"/>
                <w:kern w:val="0"/>
                <w:sz w:val="18"/>
                <w:szCs w:val="18"/>
              </w:rPr>
              <w:t>±</w:t>
            </w:r>
            <w:r>
              <w:rPr>
                <w:rFonts w:hint="eastAsia"/>
                <w:color w:val="auto"/>
                <w:kern w:val="0"/>
                <w:sz w:val="18"/>
                <w:szCs w:val="18"/>
              </w:rPr>
              <w:t>0.40</w:t>
            </w:r>
          </w:p>
        </w:tc>
        <w:tc>
          <w:tcPr>
            <w:tcW w:w="699" w:type="pct"/>
            <w:shd w:val="clear" w:color="auto" w:fill="FFFFFF"/>
            <w:noWrap w:val="0"/>
            <w:vAlign w:val="center"/>
          </w:tcPr>
          <w:p w14:paraId="47D3BC5E">
            <w:pPr>
              <w:widowControl/>
              <w:spacing w:before="60" w:after="60" w:line="240" w:lineRule="auto"/>
              <w:ind w:firstLine="0" w:firstLineChars="0"/>
              <w:jc w:val="center"/>
              <w:rPr>
                <w:color w:val="auto"/>
                <w:kern w:val="0"/>
                <w:sz w:val="18"/>
                <w:szCs w:val="18"/>
              </w:rPr>
            </w:pPr>
            <w:r>
              <w:rPr>
                <w:rFonts w:hint="eastAsia"/>
                <w:color w:val="auto"/>
                <w:kern w:val="0"/>
                <w:sz w:val="18"/>
                <w:szCs w:val="18"/>
              </w:rPr>
              <w:t>2.04</w:t>
            </w:r>
            <w:r>
              <w:rPr>
                <w:color w:val="auto"/>
                <w:kern w:val="0"/>
                <w:sz w:val="18"/>
                <w:szCs w:val="18"/>
              </w:rPr>
              <w:t>±</w:t>
            </w:r>
            <w:r>
              <w:rPr>
                <w:rFonts w:hint="eastAsia"/>
                <w:color w:val="auto"/>
                <w:kern w:val="0"/>
                <w:sz w:val="18"/>
                <w:szCs w:val="18"/>
              </w:rPr>
              <w:t>0.22</w:t>
            </w:r>
          </w:p>
        </w:tc>
        <w:tc>
          <w:tcPr>
            <w:tcW w:w="744" w:type="pct"/>
            <w:shd w:val="clear" w:color="auto" w:fill="FFFFFF"/>
            <w:noWrap w:val="0"/>
            <w:vAlign w:val="center"/>
          </w:tcPr>
          <w:p w14:paraId="5EE40B8D">
            <w:pPr>
              <w:widowControl/>
              <w:spacing w:before="60" w:after="60" w:line="240" w:lineRule="auto"/>
              <w:ind w:firstLine="0" w:firstLineChars="0"/>
              <w:jc w:val="center"/>
              <w:rPr>
                <w:color w:val="auto"/>
                <w:kern w:val="0"/>
                <w:sz w:val="18"/>
                <w:szCs w:val="18"/>
              </w:rPr>
            </w:pPr>
            <w:r>
              <w:rPr>
                <w:rFonts w:hint="eastAsia"/>
                <w:color w:val="auto"/>
                <w:kern w:val="0"/>
                <w:sz w:val="18"/>
                <w:szCs w:val="18"/>
              </w:rPr>
              <w:t>2.72</w:t>
            </w:r>
            <w:r>
              <w:rPr>
                <w:color w:val="auto"/>
                <w:kern w:val="0"/>
                <w:sz w:val="18"/>
                <w:szCs w:val="18"/>
              </w:rPr>
              <w:t>±</w:t>
            </w:r>
            <w:r>
              <w:rPr>
                <w:rFonts w:hint="eastAsia"/>
                <w:color w:val="auto"/>
                <w:kern w:val="0"/>
                <w:sz w:val="18"/>
                <w:szCs w:val="18"/>
              </w:rPr>
              <w:t>0.88</w:t>
            </w:r>
          </w:p>
        </w:tc>
        <w:tc>
          <w:tcPr>
            <w:tcW w:w="744" w:type="pct"/>
            <w:shd w:val="clear" w:color="auto" w:fill="FFFFFF"/>
            <w:noWrap w:val="0"/>
            <w:vAlign w:val="center"/>
          </w:tcPr>
          <w:p w14:paraId="71E71AE8">
            <w:pPr>
              <w:widowControl/>
              <w:spacing w:before="60" w:after="60" w:line="240" w:lineRule="auto"/>
              <w:ind w:firstLine="0" w:firstLineChars="0"/>
              <w:jc w:val="center"/>
              <w:rPr>
                <w:color w:val="auto"/>
                <w:kern w:val="0"/>
                <w:sz w:val="18"/>
                <w:szCs w:val="18"/>
              </w:rPr>
            </w:pPr>
            <w:r>
              <w:rPr>
                <w:rFonts w:hint="eastAsia"/>
                <w:color w:val="auto"/>
                <w:kern w:val="0"/>
                <w:sz w:val="18"/>
                <w:szCs w:val="18"/>
              </w:rPr>
              <w:t>1.91</w:t>
            </w:r>
            <w:r>
              <w:rPr>
                <w:color w:val="auto"/>
                <w:kern w:val="0"/>
                <w:sz w:val="18"/>
                <w:szCs w:val="18"/>
              </w:rPr>
              <w:t>±</w:t>
            </w:r>
            <w:r>
              <w:rPr>
                <w:rFonts w:hint="eastAsia"/>
                <w:color w:val="auto"/>
                <w:kern w:val="0"/>
                <w:sz w:val="18"/>
                <w:szCs w:val="18"/>
              </w:rPr>
              <w:t>0.54</w:t>
            </w:r>
          </w:p>
        </w:tc>
        <w:tc>
          <w:tcPr>
            <w:tcW w:w="746" w:type="pct"/>
            <w:shd w:val="clear" w:color="auto" w:fill="FFFFFF"/>
            <w:noWrap w:val="0"/>
            <w:vAlign w:val="center"/>
          </w:tcPr>
          <w:p w14:paraId="0B8437E1">
            <w:pPr>
              <w:widowControl/>
              <w:spacing w:before="60" w:after="60" w:line="240" w:lineRule="auto"/>
              <w:ind w:firstLine="0" w:firstLineChars="0"/>
              <w:jc w:val="center"/>
              <w:rPr>
                <w:color w:val="auto"/>
                <w:kern w:val="0"/>
                <w:sz w:val="18"/>
                <w:szCs w:val="18"/>
              </w:rPr>
            </w:pPr>
            <w:r>
              <w:rPr>
                <w:rFonts w:hint="eastAsia"/>
                <w:color w:val="auto"/>
                <w:kern w:val="0"/>
                <w:sz w:val="18"/>
                <w:szCs w:val="18"/>
              </w:rPr>
              <w:t>2.43</w:t>
            </w:r>
            <w:r>
              <w:rPr>
                <w:color w:val="auto"/>
                <w:kern w:val="0"/>
                <w:sz w:val="18"/>
                <w:szCs w:val="18"/>
              </w:rPr>
              <w:t>±</w:t>
            </w:r>
            <w:r>
              <w:rPr>
                <w:rFonts w:hint="eastAsia"/>
                <w:color w:val="auto"/>
                <w:kern w:val="0"/>
                <w:sz w:val="18"/>
                <w:szCs w:val="18"/>
              </w:rPr>
              <w:t>0.20</w:t>
            </w:r>
          </w:p>
        </w:tc>
        <w:tc>
          <w:tcPr>
            <w:tcW w:w="434" w:type="pct"/>
            <w:shd w:val="clear" w:color="auto" w:fill="FFFFFF"/>
            <w:noWrap w:val="0"/>
            <w:vAlign w:val="center"/>
          </w:tcPr>
          <w:p w14:paraId="50055176">
            <w:pPr>
              <w:widowControl/>
              <w:spacing w:before="60" w:after="60" w:line="240" w:lineRule="auto"/>
              <w:ind w:firstLine="0" w:firstLineChars="0"/>
              <w:jc w:val="center"/>
              <w:rPr>
                <w:color w:val="auto"/>
                <w:kern w:val="0"/>
                <w:sz w:val="18"/>
                <w:szCs w:val="18"/>
              </w:rPr>
            </w:pPr>
            <w:r>
              <w:rPr>
                <w:rFonts w:hint="eastAsia"/>
                <w:color w:val="auto"/>
                <w:kern w:val="0"/>
                <w:sz w:val="18"/>
                <w:szCs w:val="18"/>
              </w:rPr>
              <w:t>0.256</w:t>
            </w:r>
          </w:p>
        </w:tc>
      </w:tr>
    </w:tbl>
    <w:p w14:paraId="175244BD">
      <w:pPr>
        <w:keepNext w:val="0"/>
        <w:keepLines w:val="0"/>
        <w:widowControl/>
        <w:suppressLineNumbers w:val="0"/>
        <w:ind w:firstLine="640" w:firstLineChars="200"/>
        <w:jc w:val="both"/>
        <w:rPr>
          <w:rFonts w:hint="default" w:ascii="仿宋_GB2312" w:hAnsi="宋体" w:eastAsia="仿宋_GB2312" w:cs="Times New Roman"/>
          <w:kern w:val="2"/>
          <w:sz w:val="32"/>
          <w:szCs w:val="28"/>
          <w:highlight w:val="none"/>
          <w:lang w:val="en-US" w:eastAsia="zh-CN" w:bidi="ar-SA"/>
        </w:rPr>
      </w:pPr>
      <w:r>
        <w:rPr>
          <w:rFonts w:hint="eastAsia" w:ascii="仿宋_GB2312" w:hAnsi="宋体" w:eastAsia="仿宋_GB2312" w:cs="Times New Roman"/>
          <w:kern w:val="2"/>
          <w:sz w:val="32"/>
          <w:szCs w:val="28"/>
          <w:highlight w:val="none"/>
          <w:lang w:val="en-US" w:eastAsia="zh-CN" w:bidi="ar-SA"/>
        </w:rPr>
        <w:t>在七百弄鸡</w:t>
      </w:r>
      <w:r>
        <w:rPr>
          <w:rFonts w:hint="eastAsia" w:ascii="仿宋_GB2312" w:hAnsi="宋体" w:cs="Times New Roman"/>
          <w:kern w:val="2"/>
          <w:sz w:val="32"/>
          <w:szCs w:val="28"/>
          <w:highlight w:val="none"/>
          <w:lang w:val="en-US" w:eastAsia="zh-CN" w:bidi="ar-SA"/>
        </w:rPr>
        <w:t>种鸡</w:t>
      </w:r>
      <w:r>
        <w:rPr>
          <w:rFonts w:hint="eastAsia" w:ascii="仿宋_GB2312" w:hAnsi="宋体" w:eastAsia="仿宋_GB2312" w:cs="Times New Roman"/>
          <w:kern w:val="2"/>
          <w:sz w:val="32"/>
          <w:szCs w:val="28"/>
          <w:highlight w:val="none"/>
          <w:lang w:val="en-US" w:eastAsia="zh-CN" w:bidi="ar-SA"/>
        </w:rPr>
        <w:t>生长发育规律研究中,测定其0</w:t>
      </w:r>
      <w:r>
        <w:rPr>
          <w:rFonts w:hint="eastAsia" w:ascii="仿宋_GB2312" w:hAnsi="宋体" w:cs="Times New Roman"/>
          <w:kern w:val="2"/>
          <w:sz w:val="32"/>
          <w:szCs w:val="28"/>
          <w:highlight w:val="none"/>
          <w:lang w:val="en-US" w:eastAsia="zh-CN" w:bidi="ar-SA"/>
        </w:rPr>
        <w:t>～</w:t>
      </w:r>
      <w:r>
        <w:rPr>
          <w:rFonts w:hint="eastAsia" w:ascii="仿宋_GB2312" w:hAnsi="宋体" w:eastAsia="仿宋_GB2312" w:cs="Times New Roman"/>
          <w:kern w:val="2"/>
          <w:sz w:val="32"/>
          <w:szCs w:val="28"/>
          <w:highlight w:val="none"/>
          <w:lang w:val="en-US" w:eastAsia="zh-CN" w:bidi="ar-SA"/>
        </w:rPr>
        <w:t>19</w:t>
      </w:r>
      <w:r>
        <w:rPr>
          <w:rFonts w:hint="default" w:ascii="仿宋_GB2312" w:hAnsi="宋体" w:eastAsia="仿宋_GB2312" w:cs="Times New Roman"/>
          <w:kern w:val="2"/>
          <w:sz w:val="32"/>
          <w:szCs w:val="28"/>
          <w:highlight w:val="none"/>
          <w:lang w:val="en-US" w:eastAsia="zh-CN" w:bidi="ar-SA"/>
        </w:rPr>
        <w:t>周龄体重和体尺</w:t>
      </w:r>
      <w:r>
        <w:rPr>
          <w:rFonts w:hint="eastAsia" w:ascii="仿宋_GB2312" w:hAnsi="宋体" w:eastAsia="仿宋_GB2312" w:cs="Times New Roman"/>
          <w:kern w:val="2"/>
          <w:sz w:val="32"/>
          <w:szCs w:val="28"/>
          <w:highlight w:val="none"/>
          <w:lang w:val="en-US" w:eastAsia="zh-CN" w:bidi="ar-SA"/>
        </w:rPr>
        <w:t>(</w:t>
      </w:r>
      <w:r>
        <w:rPr>
          <w:rFonts w:hint="default" w:ascii="仿宋_GB2312" w:hAnsi="宋体" w:eastAsia="仿宋_GB2312" w:cs="Times New Roman"/>
          <w:kern w:val="2"/>
          <w:sz w:val="32"/>
          <w:szCs w:val="28"/>
          <w:highlight w:val="none"/>
          <w:lang w:val="en-US" w:eastAsia="zh-CN" w:bidi="ar-SA"/>
        </w:rPr>
        <w:t>体斜长、龙骨长、胫长、胫围、胸宽、胸深)数据,利用Logistic、Gompertz、Von Bertalanffy</w:t>
      </w:r>
      <w:r>
        <w:rPr>
          <w:rFonts w:hint="eastAsia" w:ascii="仿宋_GB2312" w:hAnsi="宋体" w:cs="Times New Roman"/>
          <w:kern w:val="2"/>
          <w:sz w:val="32"/>
          <w:szCs w:val="28"/>
          <w:highlight w:val="none"/>
          <w:lang w:val="en-US" w:eastAsia="zh-CN" w:bidi="ar-SA"/>
        </w:rPr>
        <w:t>，</w:t>
      </w:r>
      <w:r>
        <w:rPr>
          <w:rFonts w:hint="default" w:ascii="仿宋_GB2312" w:hAnsi="宋体" w:eastAsia="仿宋_GB2312" w:cs="Times New Roman"/>
          <w:kern w:val="2"/>
          <w:sz w:val="32"/>
          <w:szCs w:val="28"/>
          <w:highlight w:val="none"/>
          <w:lang w:val="en-US" w:eastAsia="zh-CN" w:bidi="ar-SA"/>
        </w:rPr>
        <w:t>3种生长曲线模型对其体重进行拟合,基于鸡发育时间拐点数据开展体重体尺相关性分析。结果表明:大化七百弄鸡</w:t>
      </w:r>
      <w:r>
        <w:rPr>
          <w:rFonts w:hint="eastAsia" w:ascii="仿宋_GB2312" w:hAnsi="宋体" w:cs="Times New Roman"/>
          <w:kern w:val="2"/>
          <w:sz w:val="32"/>
          <w:szCs w:val="28"/>
          <w:highlight w:val="none"/>
          <w:lang w:val="en-US" w:eastAsia="zh-CN" w:bidi="ar-SA"/>
        </w:rPr>
        <w:t>种鸡</w:t>
      </w:r>
      <w:r>
        <w:rPr>
          <w:rFonts w:hint="default" w:ascii="仿宋_GB2312" w:hAnsi="宋体" w:eastAsia="仿宋_GB2312" w:cs="Times New Roman"/>
          <w:kern w:val="2"/>
          <w:sz w:val="32"/>
          <w:szCs w:val="28"/>
          <w:highlight w:val="none"/>
          <w:lang w:val="en-US" w:eastAsia="zh-CN" w:bidi="ar-SA"/>
        </w:rPr>
        <w:t>0</w:t>
      </w:r>
      <w:r>
        <w:rPr>
          <w:rFonts w:hint="eastAsia" w:ascii="仿宋_GB2312" w:hAnsi="宋体" w:cs="Times New Roman"/>
          <w:kern w:val="2"/>
          <w:sz w:val="32"/>
          <w:szCs w:val="28"/>
          <w:highlight w:val="none"/>
          <w:lang w:val="en-US" w:eastAsia="zh-CN" w:bidi="ar-SA"/>
        </w:rPr>
        <w:t>～</w:t>
      </w:r>
      <w:r>
        <w:rPr>
          <w:rFonts w:hint="default" w:ascii="仿宋_GB2312" w:hAnsi="宋体" w:eastAsia="仿宋_GB2312" w:cs="Times New Roman"/>
          <w:kern w:val="2"/>
          <w:sz w:val="32"/>
          <w:szCs w:val="28"/>
          <w:highlight w:val="none"/>
          <w:lang w:val="en-US" w:eastAsia="zh-CN" w:bidi="ar-SA"/>
        </w:rPr>
        <w:t>19周龄公鸡体重均极显著或显著高于母鸡</w:t>
      </w:r>
      <w:r>
        <w:rPr>
          <w:rFonts w:hint="eastAsia" w:ascii="仿宋_GB2312" w:hAnsi="宋体" w:eastAsia="仿宋_GB2312" w:cs="Times New Roman"/>
          <w:kern w:val="2"/>
          <w:sz w:val="32"/>
          <w:szCs w:val="28"/>
          <w:highlight w:val="none"/>
          <w:lang w:val="en-US" w:eastAsia="zh-CN" w:bidi="ar-SA"/>
        </w:rPr>
        <w:t>,</w:t>
      </w:r>
      <w:r>
        <w:rPr>
          <w:rFonts w:hint="default" w:ascii="仿宋_GB2312" w:hAnsi="宋体" w:eastAsia="仿宋_GB2312" w:cs="Times New Roman"/>
          <w:kern w:val="2"/>
          <w:sz w:val="32"/>
          <w:szCs w:val="28"/>
          <w:highlight w:val="none"/>
          <w:lang w:val="en-US" w:eastAsia="zh-CN" w:bidi="ar-SA"/>
        </w:rPr>
        <w:t>拐点周龄体重体尺相关性分析发现9周龄公母鸡体重与6项体尺指标均呈极显著正相关</w:t>
      </w:r>
      <w:r>
        <w:rPr>
          <w:rFonts w:hint="eastAsia" w:ascii="仿宋_GB2312" w:hAnsi="宋体" w:eastAsia="仿宋_GB2312" w:cs="Times New Roman"/>
          <w:kern w:val="2"/>
          <w:sz w:val="32"/>
          <w:szCs w:val="28"/>
          <w:highlight w:val="none"/>
          <w:lang w:val="en-US" w:eastAsia="zh-CN" w:bidi="ar-SA"/>
        </w:rPr>
        <w:t>，</w:t>
      </w:r>
      <w:r>
        <w:rPr>
          <w:rFonts w:hint="default" w:ascii="仿宋_GB2312" w:hAnsi="宋体" w:eastAsia="仿宋_GB2312" w:cs="Times New Roman"/>
          <w:kern w:val="2"/>
          <w:sz w:val="32"/>
          <w:szCs w:val="28"/>
          <w:highlight w:val="none"/>
          <w:lang w:val="en-US" w:eastAsia="zh-CN" w:bidi="ar-SA"/>
        </w:rPr>
        <w:t>说明体重、体斜长、龙骨长、胫长和胸深可用作该品种体型的选育指标</w:t>
      </w:r>
      <w:r>
        <w:rPr>
          <w:rFonts w:hint="eastAsia" w:ascii="仿宋_GB2312" w:hAnsi="宋体" w:cs="Times New Roman"/>
          <w:kern w:val="2"/>
          <w:sz w:val="32"/>
          <w:szCs w:val="28"/>
          <w:highlight w:val="none"/>
          <w:lang w:val="en-US" w:eastAsia="zh-CN" w:bidi="ar-SA"/>
        </w:rPr>
        <w:t>，具体数据见表5、表6。</w:t>
      </w:r>
    </w:p>
    <w:p w14:paraId="67F6CB46">
      <w:pPr>
        <w:keepNext w:val="0"/>
        <w:keepLines w:val="0"/>
        <w:widowControl/>
        <w:suppressLineNumbers w:val="0"/>
        <w:ind w:left="0" w:leftChars="0" w:firstLine="0" w:firstLineChars="0"/>
        <w:jc w:val="center"/>
        <w:rPr>
          <w:color w:val="auto"/>
          <w:sz w:val="21"/>
          <w:szCs w:val="21"/>
        </w:rPr>
      </w:pPr>
      <w:r>
        <w:rPr>
          <w:color w:val="auto"/>
          <w:sz w:val="21"/>
          <w:szCs w:val="21"/>
        </w:rPr>
        <w:drawing>
          <wp:inline distT="0" distB="0" distL="114300" distR="114300">
            <wp:extent cx="5039995" cy="14274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rcRect b="1962"/>
                    <a:stretch>
                      <a:fillRect/>
                    </a:stretch>
                  </pic:blipFill>
                  <pic:spPr>
                    <a:xfrm>
                      <a:off x="0" y="0"/>
                      <a:ext cx="5039995" cy="1427480"/>
                    </a:xfrm>
                    <a:prstGeom prst="rect">
                      <a:avLst/>
                    </a:prstGeom>
                    <a:noFill/>
                    <a:ln>
                      <a:noFill/>
                    </a:ln>
                  </pic:spPr>
                </pic:pic>
              </a:graphicData>
            </a:graphic>
          </wp:inline>
        </w:drawing>
      </w:r>
    </w:p>
    <w:p w14:paraId="06DEF324">
      <w:pPr>
        <w:keepNext w:val="0"/>
        <w:keepLines w:val="0"/>
        <w:widowControl/>
        <w:suppressLineNumbers w:val="0"/>
        <w:ind w:left="0" w:leftChars="0" w:firstLine="0" w:firstLineChars="0"/>
        <w:jc w:val="center"/>
        <w:rPr>
          <w:rFonts w:hint="eastAsia" w:ascii="宋体" w:hAnsi="宋体" w:eastAsia="宋体" w:cs="宋体"/>
          <w:color w:val="auto"/>
          <w:kern w:val="0"/>
          <w:sz w:val="21"/>
          <w:szCs w:val="21"/>
          <w:lang w:val="en-US" w:eastAsia="zh-CN" w:bidi="ar"/>
        </w:rPr>
      </w:pPr>
      <w:r>
        <w:rPr>
          <w:rFonts w:hint="default" w:ascii="Times New Roman" w:hAnsi="Times New Roman" w:cs="Times New Roman"/>
          <w:color w:val="auto"/>
          <w:sz w:val="21"/>
          <w:szCs w:val="21"/>
          <w:lang w:val="en-US" w:eastAsia="zh-CN"/>
        </w:rPr>
        <w:drawing>
          <wp:inline distT="0" distB="0" distL="114300" distR="114300">
            <wp:extent cx="5039995" cy="3553460"/>
            <wp:effectExtent l="0" t="0" r="8255" b="8890"/>
            <wp:docPr id="2" name="图片 2" descr="f4401edf-8dfd-4795-9926-496181d12a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4401edf-8dfd-4795-9926-496181d12a00"/>
                    <pic:cNvPicPr>
                      <a:picLocks noChangeAspect="1"/>
                    </pic:cNvPicPr>
                  </pic:nvPicPr>
                  <pic:blipFill>
                    <a:blip r:embed="rId17"/>
                    <a:stretch>
                      <a:fillRect/>
                    </a:stretch>
                  </pic:blipFill>
                  <pic:spPr>
                    <a:xfrm>
                      <a:off x="0" y="0"/>
                      <a:ext cx="5039995" cy="3553460"/>
                    </a:xfrm>
                    <a:prstGeom prst="rect">
                      <a:avLst/>
                    </a:prstGeom>
                    <a:noFill/>
                    <a:ln>
                      <a:noFill/>
                    </a:ln>
                  </pic:spPr>
                </pic:pic>
              </a:graphicData>
            </a:graphic>
          </wp:inline>
        </w:drawing>
      </w:r>
    </w:p>
    <w:p w14:paraId="6428350E">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4.5育雏期饲养管理</w:t>
      </w:r>
    </w:p>
    <w:p w14:paraId="229AAD92">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4" w:leftChars="200" w:hanging="364" w:hangingChars="114"/>
        <w:jc w:val="left"/>
        <w:textAlignment w:val="auto"/>
        <w:rPr>
          <w:rFonts w:hint="eastAsia" w:ascii="仿宋_GB2312" w:hAnsi="宋体" w:eastAsia="仿宋_GB2312" w:cs="Times New Roman"/>
          <w:kern w:val="2"/>
          <w:sz w:val="32"/>
          <w:szCs w:val="28"/>
          <w:highlight w:val="none"/>
          <w:lang w:val="en-US" w:eastAsia="zh-CN" w:bidi="ar-SA"/>
        </w:rPr>
      </w:pPr>
      <w:r>
        <w:rPr>
          <w:rFonts w:hint="eastAsia" w:ascii="仿宋_GB2312" w:hAnsi="宋体" w:eastAsia="仿宋_GB2312" w:cs="Times New Roman"/>
          <w:kern w:val="2"/>
          <w:sz w:val="32"/>
          <w:szCs w:val="28"/>
          <w:highlight w:val="none"/>
          <w:lang w:val="en-US" w:eastAsia="zh-CN" w:bidi="ar-SA"/>
        </w:rPr>
        <w:t>4.5.1育雏方式</w:t>
      </w:r>
    </w:p>
    <w:p w14:paraId="126138DB">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left="0" w:leftChars="0" w:firstLine="640" w:firstLineChars="200"/>
        <w:jc w:val="both"/>
        <w:textAlignment w:val="auto"/>
        <w:rPr>
          <w:rFonts w:hint="default" w:ascii="仿宋_GB2312" w:hAnsi="宋体" w:eastAsia="仿宋_GB2312" w:cs="Times New Roman"/>
          <w:kern w:val="2"/>
          <w:sz w:val="32"/>
          <w:szCs w:val="28"/>
          <w:highlight w:val="none"/>
          <w:lang w:val="en-US" w:eastAsia="zh-CN" w:bidi="ar-SA"/>
        </w:rPr>
      </w:pPr>
      <w:r>
        <w:rPr>
          <w:rFonts w:hint="default" w:ascii="仿宋_GB2312" w:hAnsi="宋体" w:eastAsia="仿宋_GB2312" w:cs="Times New Roman"/>
          <w:kern w:val="2"/>
          <w:sz w:val="32"/>
          <w:szCs w:val="28"/>
          <w:highlight w:val="none"/>
          <w:lang w:val="en-US" w:eastAsia="zh-CN" w:bidi="ar-SA"/>
        </w:rPr>
        <w:t>地面平养、网上平养或笼养</w:t>
      </w:r>
      <w:r>
        <w:rPr>
          <w:rFonts w:hint="eastAsia" w:ascii="仿宋_GB2312" w:hAnsi="宋体" w:cs="Times New Roman"/>
          <w:kern w:val="2"/>
          <w:sz w:val="32"/>
          <w:szCs w:val="28"/>
          <w:highlight w:val="none"/>
          <w:lang w:val="en-US" w:eastAsia="zh-CN" w:bidi="ar-SA"/>
        </w:rPr>
        <w:t>，</w:t>
      </w:r>
      <w:r>
        <w:rPr>
          <w:rFonts w:hint="default" w:ascii="仿宋_GB2312" w:hAnsi="宋体" w:eastAsia="仿宋_GB2312" w:cs="Times New Roman"/>
          <w:kern w:val="2"/>
          <w:sz w:val="32"/>
          <w:szCs w:val="28"/>
          <w:highlight w:val="none"/>
          <w:lang w:val="en-US" w:eastAsia="zh-CN" w:bidi="ar-SA"/>
        </w:rPr>
        <w:t>三种方式是现代养鸡业根据养殖规模和条件适配的成熟模式。地面平养：贴合鸡散养的原生环境，雏鸡活动空间大、应激小，适合小规模保种场。网上平养：将雏鸡与粪便隔离，降低球虫病、大肠杆菌病等消化道疾病的感染风险，提升成活率，适合中等规模养殖场</w:t>
      </w:r>
      <w:r>
        <w:rPr>
          <w:rFonts w:hint="eastAsia" w:ascii="仿宋_GB2312" w:hAnsi="宋体" w:cs="Times New Roman"/>
          <w:kern w:val="2"/>
          <w:sz w:val="32"/>
          <w:szCs w:val="28"/>
          <w:highlight w:val="none"/>
          <w:lang w:val="en-US" w:eastAsia="zh-CN" w:bidi="ar-SA"/>
        </w:rPr>
        <w:t>。</w:t>
      </w:r>
      <w:r>
        <w:rPr>
          <w:rFonts w:hint="default" w:ascii="仿宋_GB2312" w:hAnsi="宋体" w:eastAsia="仿宋_GB2312" w:cs="Times New Roman"/>
          <w:kern w:val="2"/>
          <w:sz w:val="32"/>
          <w:szCs w:val="28"/>
          <w:highlight w:val="none"/>
          <w:lang w:val="en-US" w:eastAsia="zh-CN" w:bidi="ar-SA"/>
        </w:rPr>
        <w:t>笼养：便于精细化管理、精准控温、集中防疫，适合大型种鸡场的标准化育雏，能严格控制雏鸡生长均匀度，保障种用性能的一致性。</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58"/>
        <w:gridCol w:w="3058"/>
        <w:gridCol w:w="3058"/>
      </w:tblGrid>
      <w:tr w14:paraId="69E43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058" w:type="dxa"/>
          </w:tcPr>
          <w:p w14:paraId="2930482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b/>
                <w:bCs/>
                <w:sz w:val="32"/>
                <w:szCs w:val="28"/>
                <w:vertAlign w:val="baseline"/>
                <w:lang w:eastAsia="zh-CN"/>
              </w:rPr>
            </w:pPr>
            <w:r>
              <w:rPr>
                <w:rFonts w:hint="eastAsia" w:ascii="仿宋_GB2312" w:hAnsi="宋体" w:eastAsia="仿宋_GB2312"/>
                <w:b/>
                <w:bCs/>
                <w:sz w:val="32"/>
                <w:szCs w:val="28"/>
                <w:vertAlign w:val="baseline"/>
                <w:lang w:eastAsia="zh-CN"/>
              </w:rPr>
              <w:drawing>
                <wp:inline distT="0" distB="0" distL="114300" distR="114300">
                  <wp:extent cx="1668780" cy="1256665"/>
                  <wp:effectExtent l="0" t="0" r="0" b="0"/>
                  <wp:docPr id="19" name="图片 19" descr="705bdc504de12253fe14b847c098d3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05bdc504de12253fe14b847c098d31f"/>
                          <pic:cNvPicPr>
                            <a:picLocks noChangeAspect="1"/>
                          </pic:cNvPicPr>
                        </pic:nvPicPr>
                        <pic:blipFill>
                          <a:blip r:embed="rId18"/>
                          <a:srcRect r="25277"/>
                          <a:stretch>
                            <a:fillRect/>
                          </a:stretch>
                        </pic:blipFill>
                        <pic:spPr>
                          <a:xfrm>
                            <a:off x="0" y="0"/>
                            <a:ext cx="1668780" cy="1256665"/>
                          </a:xfrm>
                          <a:prstGeom prst="rect">
                            <a:avLst/>
                          </a:prstGeom>
                        </pic:spPr>
                      </pic:pic>
                    </a:graphicData>
                  </a:graphic>
                </wp:inline>
              </w:drawing>
            </w:r>
          </w:p>
        </w:tc>
        <w:tc>
          <w:tcPr>
            <w:tcW w:w="3058" w:type="dxa"/>
          </w:tcPr>
          <w:p w14:paraId="694C65B9">
            <w:pPr>
              <w:keepNext w:val="0"/>
              <w:keepLines w:val="0"/>
              <w:pageBreakBefore w:val="0"/>
              <w:widowControl w:val="0"/>
              <w:kinsoku/>
              <w:wordWrap/>
              <w:overflowPunct/>
              <w:topLinePunct w:val="0"/>
              <w:autoSpaceDE/>
              <w:autoSpaceDN/>
              <w:bidi w:val="0"/>
              <w:adjustRightInd/>
              <w:snapToGrid/>
              <w:ind w:firstLine="0" w:firstLineChars="0"/>
              <w:jc w:val="both"/>
              <w:textAlignment w:val="auto"/>
              <w:rPr>
                <w:rFonts w:hint="eastAsia" w:ascii="仿宋_GB2312" w:hAnsi="宋体" w:eastAsia="仿宋_GB2312"/>
                <w:sz w:val="32"/>
                <w:szCs w:val="28"/>
                <w:vertAlign w:val="baseline"/>
                <w:lang w:eastAsia="zh-CN"/>
              </w:rPr>
            </w:pPr>
            <w:r>
              <w:rPr>
                <w:rFonts w:hint="eastAsia" w:ascii="仿宋_GB2312" w:hAnsi="宋体" w:eastAsia="仿宋_GB2312"/>
                <w:sz w:val="32"/>
                <w:szCs w:val="28"/>
                <w:vertAlign w:val="baseline"/>
                <w:lang w:eastAsia="zh-CN"/>
              </w:rPr>
              <w:drawing>
                <wp:inline distT="0" distB="0" distL="114300" distR="114300">
                  <wp:extent cx="1676400" cy="1257300"/>
                  <wp:effectExtent l="0" t="0" r="0" b="0"/>
                  <wp:docPr id="20" name="图片 20" descr="6185a73d936e7aa148925cd62a85e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6185a73d936e7aa148925cd62a85e708"/>
                          <pic:cNvPicPr>
                            <a:picLocks noChangeAspect="1"/>
                          </pic:cNvPicPr>
                        </pic:nvPicPr>
                        <pic:blipFill>
                          <a:blip r:embed="rId19"/>
                          <a:stretch>
                            <a:fillRect/>
                          </a:stretch>
                        </pic:blipFill>
                        <pic:spPr>
                          <a:xfrm>
                            <a:off x="0" y="0"/>
                            <a:ext cx="1676400" cy="1257300"/>
                          </a:xfrm>
                          <a:prstGeom prst="rect">
                            <a:avLst/>
                          </a:prstGeom>
                        </pic:spPr>
                      </pic:pic>
                    </a:graphicData>
                  </a:graphic>
                </wp:inline>
              </w:drawing>
            </w:r>
          </w:p>
        </w:tc>
        <w:tc>
          <w:tcPr>
            <w:tcW w:w="3058" w:type="dxa"/>
          </w:tcPr>
          <w:p w14:paraId="5602574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rPr>
                <w:rFonts w:hint="eastAsia" w:ascii="仿宋_GB2312" w:hAnsi="宋体" w:eastAsia="仿宋_GB2312"/>
                <w:sz w:val="32"/>
                <w:szCs w:val="28"/>
                <w:vertAlign w:val="baseline"/>
                <w:lang w:eastAsia="zh-CN"/>
              </w:rPr>
              <w:drawing>
                <wp:inline distT="0" distB="0" distL="114300" distR="114300">
                  <wp:extent cx="1675130" cy="1256665"/>
                  <wp:effectExtent l="0" t="0" r="1270" b="635"/>
                  <wp:docPr id="21" name="图片 21" descr="f1663332949e30a7e27700f531fc54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1663332949e30a7e27700f531fc54e5"/>
                          <pic:cNvPicPr>
                            <a:picLocks noChangeAspect="1"/>
                          </pic:cNvPicPr>
                        </pic:nvPicPr>
                        <pic:blipFill>
                          <a:blip r:embed="rId20"/>
                          <a:stretch>
                            <a:fillRect/>
                          </a:stretch>
                        </pic:blipFill>
                        <pic:spPr>
                          <a:xfrm>
                            <a:off x="0" y="0"/>
                            <a:ext cx="1675130" cy="1256665"/>
                          </a:xfrm>
                          <a:prstGeom prst="rect">
                            <a:avLst/>
                          </a:prstGeom>
                        </pic:spPr>
                      </pic:pic>
                    </a:graphicData>
                  </a:graphic>
                </wp:inline>
              </w:drawing>
            </w:r>
          </w:p>
        </w:tc>
      </w:tr>
      <w:tr w14:paraId="37348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3"/>
          </w:tcPr>
          <w:p w14:paraId="5A7CDA8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仿宋_GB2312" w:hAnsi="宋体"/>
                <w:sz w:val="28"/>
                <w:szCs w:val="24"/>
                <w:vertAlign w:val="baseline"/>
                <w:lang w:val="en-US" w:eastAsia="zh-CN"/>
              </w:rPr>
            </w:pPr>
            <w:r>
              <w:rPr>
                <w:rFonts w:hint="eastAsia" w:ascii="仿宋_GB2312" w:hAnsi="宋体"/>
                <w:sz w:val="28"/>
                <w:szCs w:val="24"/>
                <w:vertAlign w:val="baseline"/>
                <w:lang w:val="en-US" w:eastAsia="zh-CN"/>
              </w:rPr>
              <w:t>图3 七百弄鸡育雏</w:t>
            </w:r>
          </w:p>
        </w:tc>
      </w:tr>
    </w:tbl>
    <w:p w14:paraId="7F41A86C">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4" w:leftChars="200" w:hanging="364" w:hangingChars="114"/>
        <w:jc w:val="left"/>
        <w:textAlignment w:val="auto"/>
        <w:rPr>
          <w:rFonts w:hint="default" w:ascii="仿宋_GB2312" w:hAnsi="宋体" w:eastAsia="仿宋_GB2312" w:cs="Times New Roman"/>
          <w:kern w:val="2"/>
          <w:sz w:val="32"/>
          <w:szCs w:val="28"/>
          <w:highlight w:val="none"/>
          <w:lang w:val="en-US" w:eastAsia="zh-CN" w:bidi="ar-SA"/>
        </w:rPr>
      </w:pPr>
      <w:r>
        <w:rPr>
          <w:rFonts w:hint="eastAsia" w:ascii="仿宋_GB2312" w:hAnsi="宋体" w:eastAsia="仿宋_GB2312" w:cs="Times New Roman"/>
          <w:kern w:val="2"/>
          <w:sz w:val="32"/>
          <w:szCs w:val="28"/>
          <w:highlight w:val="none"/>
          <w:lang w:val="en-US" w:eastAsia="zh-CN" w:bidi="ar-SA"/>
        </w:rPr>
        <w:t>4.5.</w:t>
      </w:r>
      <w:r>
        <w:rPr>
          <w:rFonts w:hint="eastAsia" w:ascii="仿宋_GB2312" w:hAnsi="宋体" w:cs="Times New Roman"/>
          <w:kern w:val="2"/>
          <w:sz w:val="32"/>
          <w:szCs w:val="28"/>
          <w:highlight w:val="none"/>
          <w:lang w:val="en-US" w:eastAsia="zh-CN" w:bidi="ar-SA"/>
        </w:rPr>
        <w:t>2</w:t>
      </w:r>
      <w:r>
        <w:rPr>
          <w:rFonts w:hint="eastAsia" w:ascii="仿宋_GB2312" w:hAnsi="宋体" w:eastAsia="仿宋_GB2312" w:cs="Times New Roman"/>
          <w:kern w:val="2"/>
          <w:sz w:val="32"/>
          <w:szCs w:val="28"/>
          <w:highlight w:val="none"/>
          <w:lang w:val="en-US" w:eastAsia="zh-CN" w:bidi="ar-SA"/>
        </w:rPr>
        <w:t>育雏</w:t>
      </w:r>
      <w:r>
        <w:rPr>
          <w:rFonts w:hint="eastAsia" w:ascii="仿宋_GB2312" w:hAnsi="宋体" w:cs="Times New Roman"/>
          <w:kern w:val="2"/>
          <w:sz w:val="32"/>
          <w:szCs w:val="28"/>
          <w:highlight w:val="none"/>
          <w:lang w:val="en-US" w:eastAsia="zh-CN" w:bidi="ar-SA"/>
        </w:rPr>
        <w:t>密度</w:t>
      </w:r>
    </w:p>
    <w:p w14:paraId="5DA1BE27">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left="0" w:leftChars="0" w:firstLine="640" w:firstLineChars="200"/>
        <w:jc w:val="both"/>
        <w:textAlignment w:val="auto"/>
        <w:rPr>
          <w:rFonts w:hint="eastAsia" w:ascii="仿宋_GB2312" w:hAnsi="宋体" w:cs="Times New Roman"/>
          <w:kern w:val="2"/>
          <w:sz w:val="32"/>
          <w:szCs w:val="28"/>
          <w:highlight w:val="none"/>
          <w:lang w:val="en-US" w:eastAsia="zh-CN" w:bidi="ar-SA"/>
        </w:rPr>
      </w:pPr>
      <w:r>
        <w:rPr>
          <w:rFonts w:hint="default" w:ascii="仿宋_GB2312" w:hAnsi="宋体" w:eastAsia="仿宋_GB2312" w:cs="Times New Roman"/>
          <w:kern w:val="2"/>
          <w:sz w:val="32"/>
          <w:szCs w:val="28"/>
          <w:highlight w:val="none"/>
          <w:lang w:val="en-US" w:eastAsia="zh-CN" w:bidi="ar-SA"/>
        </w:rPr>
        <w:t>雏鸡体重随日龄快速增长，活动量、采食量、排泄量同步增加，因此密度</w:t>
      </w:r>
      <w:r>
        <w:rPr>
          <w:rFonts w:hint="eastAsia" w:ascii="仿宋_GB2312" w:hAnsi="宋体" w:cs="Times New Roman"/>
          <w:kern w:val="2"/>
          <w:sz w:val="32"/>
          <w:szCs w:val="28"/>
          <w:highlight w:val="none"/>
          <w:lang w:val="en-US" w:eastAsia="zh-CN" w:bidi="ar-SA"/>
        </w:rPr>
        <w:t>需要</w:t>
      </w:r>
      <w:r>
        <w:rPr>
          <w:rFonts w:hint="default" w:ascii="仿宋_GB2312" w:hAnsi="宋体" w:eastAsia="仿宋_GB2312" w:cs="Times New Roman"/>
          <w:kern w:val="2"/>
          <w:sz w:val="32"/>
          <w:szCs w:val="28"/>
          <w:highlight w:val="none"/>
          <w:lang w:val="en-US" w:eastAsia="zh-CN" w:bidi="ar-SA"/>
        </w:rPr>
        <w:t>随日龄逐步降低，避免拥挤导致的一系列问题</w:t>
      </w:r>
      <w:r>
        <w:rPr>
          <w:rFonts w:hint="eastAsia" w:ascii="仿宋_GB2312" w:hAnsi="宋体" w:cs="Times New Roman"/>
          <w:kern w:val="2"/>
          <w:sz w:val="32"/>
          <w:szCs w:val="28"/>
          <w:highlight w:val="none"/>
          <w:lang w:val="en-US" w:eastAsia="zh-CN" w:bidi="ar-SA"/>
        </w:rPr>
        <w:t>。网上、笼养雏鸡与粪便分离，卫生条件好、疾病风险低，且笼具、网床的空间利用率更高，因此密度更高，1～7日龄可达到50～60只/㎡，远高于地面平养。地面平养雏鸡直接接触垫料，粪便易污染环境，球虫等疾病风险高，因此密度更低，给雏鸡足够的活动空间，减少病原接触。</w:t>
      </w:r>
    </w:p>
    <w:p w14:paraId="7270BC1A">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4" w:leftChars="200" w:hanging="364" w:hangingChars="114"/>
        <w:jc w:val="left"/>
        <w:textAlignment w:val="auto"/>
        <w:rPr>
          <w:rFonts w:hint="default" w:ascii="仿宋_GB2312" w:hAnsi="宋体" w:eastAsia="仿宋_GB2312" w:cs="Times New Roman"/>
          <w:kern w:val="2"/>
          <w:sz w:val="32"/>
          <w:szCs w:val="28"/>
          <w:highlight w:val="none"/>
          <w:lang w:val="en-US" w:eastAsia="zh-CN" w:bidi="ar-SA"/>
        </w:rPr>
      </w:pPr>
      <w:r>
        <w:rPr>
          <w:rFonts w:hint="eastAsia" w:ascii="仿宋_GB2312" w:hAnsi="宋体" w:eastAsia="仿宋_GB2312" w:cs="Times New Roman"/>
          <w:kern w:val="2"/>
          <w:sz w:val="32"/>
          <w:szCs w:val="28"/>
          <w:highlight w:val="none"/>
          <w:lang w:val="en-US" w:eastAsia="zh-CN" w:bidi="ar-SA"/>
        </w:rPr>
        <w:t>4.5.</w:t>
      </w:r>
      <w:r>
        <w:rPr>
          <w:rFonts w:hint="eastAsia" w:ascii="仿宋_GB2312" w:hAnsi="宋体" w:cs="Times New Roman"/>
          <w:kern w:val="2"/>
          <w:sz w:val="32"/>
          <w:szCs w:val="28"/>
          <w:highlight w:val="none"/>
          <w:lang w:val="en-US" w:eastAsia="zh-CN" w:bidi="ar-SA"/>
        </w:rPr>
        <w:t>3温湿度控制</w:t>
      </w:r>
    </w:p>
    <w:p w14:paraId="29ED88C2">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left="0" w:leftChars="0" w:firstLine="640" w:firstLineChars="200"/>
        <w:jc w:val="both"/>
        <w:textAlignment w:val="auto"/>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七百弄</w:t>
      </w:r>
      <w:r>
        <w:rPr>
          <w:rFonts w:hint="eastAsia" w:ascii="仿宋_GB2312" w:hAnsi="宋体" w:cs="Times New Roman"/>
          <w:kern w:val="2"/>
          <w:sz w:val="32"/>
          <w:szCs w:val="28"/>
          <w:highlight w:val="none"/>
          <w:lang w:val="en-US" w:eastAsia="zh-CN" w:bidi="ar-SA"/>
        </w:rPr>
        <w:t>鸡</w:t>
      </w:r>
      <w:r>
        <w:rPr>
          <w:rFonts w:hint="default" w:ascii="仿宋_GB2312" w:hAnsi="宋体" w:cs="Times New Roman"/>
          <w:kern w:val="2"/>
          <w:sz w:val="32"/>
          <w:szCs w:val="28"/>
          <w:highlight w:val="none"/>
          <w:lang w:val="en-US" w:eastAsia="zh-CN" w:bidi="ar-SA"/>
        </w:rPr>
        <w:t>种鸡育雏期温湿度控制遵循雏鸡体温调节能力发育规律，采用梯度降温、分阶段控湿的科学方案</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0</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7日龄雏鸡体温调节系统未发育完全，需维持32℃</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35℃的环境与60%</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70%的相对湿度，保障雏鸡体温稳定、避免脱水</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之后每周温度下降2℃</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3℃，逐步适配雏鸡体温调节能力的提升，至42日龄降至18℃</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20℃的常温环境，同时将相对湿度稳定在55%</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60%，防止垫料潮湿霉变、病原滋生</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为雏鸡健康生长与后续种用性能培育</w:t>
      </w:r>
      <w:r>
        <w:rPr>
          <w:rFonts w:hint="eastAsia" w:ascii="仿宋_GB2312" w:hAnsi="宋体" w:cs="Times New Roman"/>
          <w:kern w:val="2"/>
          <w:sz w:val="32"/>
          <w:szCs w:val="28"/>
          <w:highlight w:val="none"/>
          <w:lang w:val="en-US" w:eastAsia="zh-CN" w:bidi="ar-SA"/>
        </w:rPr>
        <w:t>提供</w:t>
      </w:r>
      <w:r>
        <w:rPr>
          <w:rFonts w:hint="default" w:ascii="仿宋_GB2312" w:hAnsi="宋体" w:cs="Times New Roman"/>
          <w:kern w:val="2"/>
          <w:sz w:val="32"/>
          <w:szCs w:val="28"/>
          <w:highlight w:val="none"/>
          <w:lang w:val="en-US" w:eastAsia="zh-CN" w:bidi="ar-SA"/>
        </w:rPr>
        <w:t>环境基础。</w:t>
      </w:r>
    </w:p>
    <w:p w14:paraId="17AEDC59">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4" w:leftChars="200" w:hanging="364" w:hangingChars="114"/>
        <w:jc w:val="left"/>
        <w:textAlignment w:val="auto"/>
        <w:rPr>
          <w:rFonts w:hint="default" w:ascii="仿宋_GB2312" w:hAnsi="宋体" w:eastAsia="仿宋_GB2312" w:cs="Times New Roman"/>
          <w:kern w:val="2"/>
          <w:sz w:val="32"/>
          <w:szCs w:val="28"/>
          <w:highlight w:val="none"/>
          <w:lang w:val="en-US" w:eastAsia="zh-CN" w:bidi="ar-SA"/>
        </w:rPr>
      </w:pPr>
      <w:r>
        <w:rPr>
          <w:rFonts w:hint="eastAsia" w:ascii="仿宋_GB2312" w:hAnsi="宋体" w:eastAsia="仿宋_GB2312" w:cs="Times New Roman"/>
          <w:kern w:val="2"/>
          <w:sz w:val="32"/>
          <w:szCs w:val="28"/>
          <w:highlight w:val="none"/>
          <w:lang w:val="en-US" w:eastAsia="zh-CN" w:bidi="ar-SA"/>
        </w:rPr>
        <w:t>4.5.</w:t>
      </w:r>
      <w:r>
        <w:rPr>
          <w:rFonts w:hint="eastAsia" w:ascii="仿宋_GB2312" w:hAnsi="宋体" w:cs="Times New Roman"/>
          <w:kern w:val="2"/>
          <w:sz w:val="32"/>
          <w:szCs w:val="28"/>
          <w:highlight w:val="none"/>
          <w:lang w:val="en-US" w:eastAsia="zh-CN" w:bidi="ar-SA"/>
        </w:rPr>
        <w:t>4光照控制</w:t>
      </w:r>
    </w:p>
    <w:p w14:paraId="0800BB77">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left="0" w:leftChars="0" w:firstLine="640" w:firstLineChars="200"/>
        <w:jc w:val="both"/>
        <w:textAlignment w:val="auto"/>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七百弄种鸡育雏期光照控制分阶段精准匹配光照时长与强度</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1日龄采用24h光照、2</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3日龄维持23h长光照，以10</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20Lx弱光引导雏鸡快速开食、熟悉环境；4</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10日龄每日减少2h光照至9h，同步将光照强度提升至30</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40Lx，保障雏鸡充分采食、提升生长均匀度；12</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42日龄稳定8h短光照、10Lx弱光，严格抑制雏鸡生殖系统过早发育，确保其先完成骨骼与体质的充分发育，为后续产蛋期的高产蛋率、高受精率奠定基础，同时减少应激与啄癖，保障鸡群健康</w:t>
      </w:r>
      <w:r>
        <w:rPr>
          <w:rFonts w:hint="eastAsia" w:ascii="仿宋_GB2312" w:hAnsi="宋体" w:cs="Times New Roman"/>
          <w:kern w:val="2"/>
          <w:sz w:val="32"/>
          <w:szCs w:val="28"/>
          <w:highlight w:val="none"/>
          <w:lang w:val="en-US" w:eastAsia="zh-CN" w:bidi="ar-SA"/>
        </w:rPr>
        <w:t>。</w:t>
      </w:r>
    </w:p>
    <w:p w14:paraId="554110EA">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4.6育成期饲养管理</w:t>
      </w:r>
    </w:p>
    <w:p w14:paraId="30B421C1">
      <w:pPr>
        <w:keepNext w:val="0"/>
        <w:keepLines w:val="0"/>
        <w:widowControl/>
        <w:suppressLineNumbers w:val="0"/>
        <w:jc w:val="both"/>
        <w:rPr>
          <w:rFonts w:hint="eastAsia"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4.6.1转群</w:t>
      </w:r>
    </w:p>
    <w:p w14:paraId="2654D2D7">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育雏结束后按性别、体重分栏饲养，避免强弱混养、公母混养导致的采食不均与应激</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转群前后饮水添加抗应激产品、转群前4h</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6h停料供水，减少环境变化带来的应激反应</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转群前对育成舍及设备彻底清洗熏蒸消毒、通风，并检修试运行各类系统，从源头阻断病原传播，为鸡群提供安全稳定的生长环境。</w:t>
      </w:r>
    </w:p>
    <w:p w14:paraId="53D32909">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4.6.2</w:t>
      </w:r>
      <w:r>
        <w:rPr>
          <w:rFonts w:hint="default" w:ascii="仿宋_GB2312" w:hAnsi="宋体" w:cs="Times New Roman"/>
          <w:kern w:val="2"/>
          <w:sz w:val="32"/>
          <w:szCs w:val="28"/>
          <w:highlight w:val="none"/>
          <w:lang w:val="en-US" w:eastAsia="zh-CN" w:bidi="ar-SA"/>
        </w:rPr>
        <w:t>换料</w:t>
      </w:r>
    </w:p>
    <w:p w14:paraId="4CC858D5">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育雏料与育成料营养浓度、配方差异显著，直接换料易引发鸡群肠道不适、采食量下降、生长受阻，5d以上的过渡期通过逐步调整两种饲料的比例，让鸡群肠道逐步适应新饲料，保障采食量与生长速度，同时契合育成期控体重、促骨骼发育的种用培育目标。</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15D85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tcPr>
          <w:p w14:paraId="10B8B31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rPr>
                <w:rFonts w:hint="eastAsia" w:ascii="仿宋_GB2312" w:hAnsi="宋体" w:eastAsia="仿宋_GB2312"/>
                <w:sz w:val="32"/>
                <w:szCs w:val="28"/>
                <w:vertAlign w:val="baseline"/>
                <w:lang w:eastAsia="zh-CN"/>
              </w:rPr>
              <w:drawing>
                <wp:inline distT="0" distB="0" distL="114300" distR="114300">
                  <wp:extent cx="2641600" cy="1487170"/>
                  <wp:effectExtent l="0" t="0" r="6350" b="17780"/>
                  <wp:docPr id="29" name="图片 29" descr="65a9bcfabc08b05933252f53fbea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65a9bcfabc08b05933252f53fbea2910"/>
                          <pic:cNvPicPr>
                            <a:picLocks noChangeAspect="1"/>
                          </pic:cNvPicPr>
                        </pic:nvPicPr>
                        <pic:blipFill>
                          <a:blip r:embed="rId21"/>
                          <a:stretch>
                            <a:fillRect/>
                          </a:stretch>
                        </pic:blipFill>
                        <pic:spPr>
                          <a:xfrm>
                            <a:off x="0" y="0"/>
                            <a:ext cx="2641600" cy="1487170"/>
                          </a:xfrm>
                          <a:prstGeom prst="rect">
                            <a:avLst/>
                          </a:prstGeom>
                        </pic:spPr>
                      </pic:pic>
                    </a:graphicData>
                  </a:graphic>
                </wp:inline>
              </w:drawing>
            </w:r>
          </w:p>
        </w:tc>
        <w:tc>
          <w:tcPr>
            <w:tcW w:w="4587" w:type="dxa"/>
          </w:tcPr>
          <w:p w14:paraId="6F86B36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zh-CN" w:eastAsia="zh-CN" w:bidi="ar-SA"/>
              </w:rPr>
              <w:drawing>
                <wp:inline distT="0" distB="0" distL="114300" distR="114300">
                  <wp:extent cx="2743200" cy="1544320"/>
                  <wp:effectExtent l="0" t="0" r="0" b="17780"/>
                  <wp:docPr id="30" name="图片 30" descr="787de1625ab5a04dc081978f01313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787de1625ab5a04dc081978f01313cbe"/>
                          <pic:cNvPicPr>
                            <a:picLocks noChangeAspect="1"/>
                          </pic:cNvPicPr>
                        </pic:nvPicPr>
                        <pic:blipFill>
                          <a:blip r:embed="rId22"/>
                          <a:stretch>
                            <a:fillRect/>
                          </a:stretch>
                        </pic:blipFill>
                        <pic:spPr>
                          <a:xfrm>
                            <a:off x="0" y="0"/>
                            <a:ext cx="2743200" cy="1544320"/>
                          </a:xfrm>
                          <a:prstGeom prst="rect">
                            <a:avLst/>
                          </a:prstGeom>
                        </pic:spPr>
                      </pic:pic>
                    </a:graphicData>
                  </a:graphic>
                </wp:inline>
              </w:drawing>
            </w:r>
          </w:p>
        </w:tc>
      </w:tr>
      <w:tr w14:paraId="23F12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tcPr>
          <w:p w14:paraId="2A7834F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rPr>
                <w:rFonts w:hint="eastAsia" w:ascii="仿宋_GB2312" w:hAnsi="宋体" w:eastAsia="仿宋_GB2312"/>
                <w:sz w:val="32"/>
                <w:szCs w:val="28"/>
                <w:vertAlign w:val="baseline"/>
                <w:lang w:eastAsia="zh-CN"/>
              </w:rPr>
              <w:drawing>
                <wp:inline distT="0" distB="0" distL="114300" distR="114300">
                  <wp:extent cx="2743200" cy="1544320"/>
                  <wp:effectExtent l="0" t="0" r="0" b="17780"/>
                  <wp:docPr id="31" name="图片 31" descr="eac286e7672fb775f75a113104f854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eac286e7672fb775f75a113104f8544e"/>
                          <pic:cNvPicPr>
                            <a:picLocks noChangeAspect="1"/>
                          </pic:cNvPicPr>
                        </pic:nvPicPr>
                        <pic:blipFill>
                          <a:blip r:embed="rId23"/>
                          <a:stretch>
                            <a:fillRect/>
                          </a:stretch>
                        </pic:blipFill>
                        <pic:spPr>
                          <a:xfrm>
                            <a:off x="0" y="0"/>
                            <a:ext cx="2743200" cy="1544320"/>
                          </a:xfrm>
                          <a:prstGeom prst="rect">
                            <a:avLst/>
                          </a:prstGeom>
                        </pic:spPr>
                      </pic:pic>
                    </a:graphicData>
                  </a:graphic>
                </wp:inline>
              </w:drawing>
            </w:r>
          </w:p>
        </w:tc>
        <w:tc>
          <w:tcPr>
            <w:tcW w:w="4587" w:type="dxa"/>
          </w:tcPr>
          <w:p w14:paraId="2E0480D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zh-CN" w:eastAsia="zh-CN" w:bidi="ar-SA"/>
              </w:rPr>
              <w:drawing>
                <wp:inline distT="0" distB="0" distL="114300" distR="114300">
                  <wp:extent cx="2743200" cy="1544320"/>
                  <wp:effectExtent l="0" t="0" r="0" b="17780"/>
                  <wp:docPr id="32" name="图片 32" descr="f5b6a0dc450164426285936f0ea3ab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f5b6a0dc450164426285936f0ea3ab83"/>
                          <pic:cNvPicPr>
                            <a:picLocks noChangeAspect="1"/>
                          </pic:cNvPicPr>
                        </pic:nvPicPr>
                        <pic:blipFill>
                          <a:blip r:embed="rId24"/>
                          <a:stretch>
                            <a:fillRect/>
                          </a:stretch>
                        </pic:blipFill>
                        <pic:spPr>
                          <a:xfrm>
                            <a:off x="0" y="0"/>
                            <a:ext cx="2743200" cy="1544320"/>
                          </a:xfrm>
                          <a:prstGeom prst="rect">
                            <a:avLst/>
                          </a:prstGeom>
                        </pic:spPr>
                      </pic:pic>
                    </a:graphicData>
                  </a:graphic>
                </wp:inline>
              </w:drawing>
            </w:r>
          </w:p>
        </w:tc>
      </w:tr>
      <w:tr w14:paraId="6A949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tcPr>
          <w:p w14:paraId="6313DAD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仿宋_GB2312" w:hAnsi="宋体"/>
                <w:sz w:val="28"/>
                <w:szCs w:val="24"/>
                <w:vertAlign w:val="baseline"/>
                <w:lang w:val="en-US" w:eastAsia="zh-CN"/>
              </w:rPr>
            </w:pPr>
            <w:r>
              <w:rPr>
                <w:rFonts w:hint="eastAsia" w:ascii="仿宋_GB2312" w:hAnsi="宋体"/>
                <w:sz w:val="28"/>
                <w:szCs w:val="24"/>
                <w:vertAlign w:val="baseline"/>
                <w:lang w:val="en-US" w:eastAsia="zh-CN"/>
              </w:rPr>
              <w:t>图4 七百弄鸡育成期</w:t>
            </w:r>
          </w:p>
        </w:tc>
      </w:tr>
    </w:tbl>
    <w:p w14:paraId="5B441FA0">
      <w:pPr>
        <w:keepNext w:val="0"/>
        <w:keepLines w:val="0"/>
        <w:widowControl/>
        <w:suppressLineNumbers w:val="0"/>
        <w:jc w:val="both"/>
        <w:rPr>
          <w:rFonts w:hint="default" w:ascii="仿宋_GB2312" w:hAnsi="宋体" w:cs="Times New Roman"/>
          <w:kern w:val="2"/>
          <w:sz w:val="32"/>
          <w:szCs w:val="28"/>
          <w:highlight w:val="none"/>
          <w:lang w:val="en-US" w:eastAsia="zh-CN" w:bidi="ar-SA"/>
        </w:rPr>
      </w:pPr>
    </w:p>
    <w:p w14:paraId="5F6DCB93">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4.6.3</w:t>
      </w:r>
      <w:r>
        <w:rPr>
          <w:rFonts w:hint="default" w:ascii="仿宋_GB2312" w:hAnsi="宋体" w:cs="Times New Roman"/>
          <w:kern w:val="2"/>
          <w:sz w:val="32"/>
          <w:szCs w:val="28"/>
          <w:highlight w:val="none"/>
          <w:lang w:val="en-US" w:eastAsia="zh-CN" w:bidi="ar-SA"/>
        </w:rPr>
        <w:t>养殖密度</w:t>
      </w:r>
    </w:p>
    <w:p w14:paraId="684B510D">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育成期鸡只体型快速增大、活动量剧增，合理密度可保障每只鸡有充足的采食、饮水与活动空间，避免拥挤引发的啄癖、应激、采食不均</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笼养因空间利用率高、鸡只与粪便分离，密度可略高于平养，密度≤12只/㎡</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兼顾养殖效率，提升鸡群均匀度，为后续种用性能奠定基础。</w:t>
      </w:r>
    </w:p>
    <w:p w14:paraId="50F8F105">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4.6.4</w:t>
      </w:r>
      <w:r>
        <w:rPr>
          <w:rFonts w:hint="default" w:ascii="仿宋_GB2312" w:hAnsi="宋体" w:cs="Times New Roman"/>
          <w:kern w:val="2"/>
          <w:sz w:val="32"/>
          <w:szCs w:val="28"/>
          <w:highlight w:val="none"/>
          <w:lang w:val="en-US" w:eastAsia="zh-CN" w:bidi="ar-SA"/>
        </w:rPr>
        <w:t>体重控制</w:t>
      </w:r>
    </w:p>
    <w:p w14:paraId="0571F2A6">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随机抽取3%</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5%且不少于100只种鸡，每周固定时间空腹称重，可精准、真实地反映鸡只生长情况</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通过调整喂料量将体重均匀度控制在75%以上，能保障鸡群开产时间一致、产蛋率与种蛋质量稳定</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同时严格控体重可避免种鸡过肥导致的性早熟、产蛋性能下降。</w:t>
      </w:r>
    </w:p>
    <w:p w14:paraId="3B11286F">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4.6.5</w:t>
      </w:r>
      <w:r>
        <w:rPr>
          <w:rFonts w:hint="default" w:ascii="仿宋_GB2312" w:hAnsi="宋体" w:cs="Times New Roman"/>
          <w:kern w:val="2"/>
          <w:sz w:val="32"/>
          <w:szCs w:val="28"/>
          <w:highlight w:val="none"/>
          <w:lang w:val="en-US" w:eastAsia="zh-CN" w:bidi="ar-SA"/>
        </w:rPr>
        <w:t>温湿度控制</w:t>
      </w:r>
    </w:p>
    <w:p w14:paraId="0395BD9D">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18℃</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24℃为育成鸡最适生长温度，可保障采食量、生长速度与饲料转化率，冬季不低于12℃避免冷应激、夏季不超过30℃避免热应激</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55%</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60%的相对湿度既能防止湿度过高引发的垫料霉变、病原滋生，又能避免湿度过低导致的粉尘飞扬、呼吸道黏膜损伤，为鸡群提供健康的生长环境。</w:t>
      </w:r>
    </w:p>
    <w:p w14:paraId="28C4BEAF">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4.6.6</w:t>
      </w:r>
      <w:r>
        <w:rPr>
          <w:rFonts w:hint="default" w:ascii="仿宋_GB2312" w:hAnsi="宋体" w:cs="Times New Roman"/>
          <w:kern w:val="2"/>
          <w:sz w:val="32"/>
          <w:szCs w:val="28"/>
          <w:highlight w:val="none"/>
          <w:lang w:val="en-US" w:eastAsia="zh-CN" w:bidi="ar-SA"/>
        </w:rPr>
        <w:t>光照控制</w:t>
      </w:r>
    </w:p>
    <w:p w14:paraId="5E7FADEE">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43</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126日龄维持 8h 短光照、10Lx弱光，核心是抑制生殖系统过早发育，确保鸡只先完成骨骼与体质的充分发育；127</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140日龄逐步递增光照时长至10h、提升强度至30</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40Lx，温和刺激生殖系统发育，为后续产蛋期开产做准备，同时弱光阶段可减少应激与啄癖，保障鸡群平稳生长。</w:t>
      </w:r>
    </w:p>
    <w:p w14:paraId="6D3153F7">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4.6.7</w:t>
      </w:r>
      <w:r>
        <w:rPr>
          <w:rFonts w:hint="default" w:ascii="仿宋_GB2312" w:hAnsi="宋体" w:cs="Times New Roman"/>
          <w:kern w:val="2"/>
          <w:sz w:val="32"/>
          <w:szCs w:val="28"/>
          <w:highlight w:val="none"/>
          <w:lang w:val="en-US" w:eastAsia="zh-CN" w:bidi="ar-SA"/>
        </w:rPr>
        <w:t>选种</w:t>
      </w:r>
    </w:p>
    <w:p w14:paraId="2AB7437A">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default" w:ascii="仿宋_GB2312" w:hAnsi="宋体" w:cs="Times New Roman"/>
          <w:kern w:val="2"/>
          <w:sz w:val="32"/>
          <w:szCs w:val="28"/>
          <w:highlight w:val="none"/>
          <w:lang w:val="en-US" w:eastAsia="zh-CN" w:bidi="ar-SA"/>
        </w:rPr>
        <w:t>第1次在43</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56日龄，剔除性别鉴定错误鸡与残次鸡，纠正分栏偏差、淘汰劣质个体，提升鸡群整体质量；第2次在99</w:t>
      </w:r>
      <w:r>
        <w:rPr>
          <w:rFonts w:hint="eastAsia" w:ascii="仿宋_GB2312" w:hAnsi="宋体" w:cs="Times New Roman"/>
          <w:kern w:val="2"/>
          <w:sz w:val="32"/>
          <w:szCs w:val="28"/>
          <w:highlight w:val="none"/>
          <w:lang w:val="en-US" w:eastAsia="zh-CN" w:bidi="ar-SA"/>
        </w:rPr>
        <w:t>～</w:t>
      </w:r>
      <w:r>
        <w:rPr>
          <w:rFonts w:hint="default" w:ascii="仿宋_GB2312" w:hAnsi="宋体" w:cs="Times New Roman"/>
          <w:kern w:val="2"/>
          <w:sz w:val="32"/>
          <w:szCs w:val="28"/>
          <w:highlight w:val="none"/>
          <w:lang w:val="en-US" w:eastAsia="zh-CN" w:bidi="ar-SA"/>
        </w:rPr>
        <w:t>112日龄，淘汰品种特征不明显、体重不符合条件的种鸡，从源头保障种鸡的品种纯正与种用性能，为七百弄鸡保种、选育及地理标志产品品质提供核心支撑。</w:t>
      </w:r>
    </w:p>
    <w:p w14:paraId="68CBA833">
      <w:pPr>
        <w:keepNext w:val="0"/>
        <w:keepLines w:val="0"/>
        <w:widowControl/>
        <w:suppressLineNumbers w:val="0"/>
        <w:jc w:val="both"/>
        <w:rPr>
          <w:rFonts w:hint="default" w:ascii="仿宋_GB2312" w:hAnsi="宋体" w:cs="Times New Roman"/>
          <w:kern w:val="2"/>
          <w:sz w:val="32"/>
          <w:szCs w:val="28"/>
          <w:highlight w:val="none"/>
          <w:lang w:val="en-US" w:eastAsia="zh-CN" w:bidi="ar-SA"/>
        </w:rPr>
      </w:pPr>
      <w:r>
        <w:rPr>
          <w:rFonts w:hint="eastAsia" w:ascii="仿宋_GB2312" w:hAnsi="宋体" w:cs="Times New Roman"/>
          <w:kern w:val="2"/>
          <w:sz w:val="32"/>
          <w:szCs w:val="28"/>
          <w:highlight w:val="none"/>
          <w:lang w:val="en-US" w:eastAsia="zh-CN" w:bidi="ar-SA"/>
        </w:rPr>
        <w:t>4.7产蛋期饲养管理</w:t>
      </w:r>
    </w:p>
    <w:p w14:paraId="7FD785ED">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en-US" w:eastAsia="zh-CN" w:bidi="ar-SA"/>
        </w:rPr>
        <w:t>4.7.1</w:t>
      </w:r>
      <w:r>
        <w:rPr>
          <w:rFonts w:hint="eastAsia" w:ascii="仿宋_GB2312" w:hAnsi="宋体" w:cs="Times New Roman"/>
          <w:kern w:val="2"/>
          <w:sz w:val="32"/>
          <w:szCs w:val="28"/>
          <w:highlight w:val="none"/>
          <w:lang w:val="zh-CN" w:eastAsia="zh-CN" w:bidi="ar-SA"/>
        </w:rPr>
        <w:t>转群</w:t>
      </w:r>
    </w:p>
    <w:p w14:paraId="5F462F64">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zh-CN" w:eastAsia="zh-CN" w:bidi="ar-SA"/>
        </w:rPr>
        <w:t>141～147日龄是七百弄种鸡性成熟、即将开产的关键节点，提前转入产蛋舍可让鸡群充分熟悉新环境、产蛋箱，避免开产后转群引发的应激停产。5天以上的过渡期通过逐步调整饲料比例，让鸡群肠道、生殖系统平稳适应，保障开产顺利、产蛋率稳定。</w:t>
      </w:r>
    </w:p>
    <w:p w14:paraId="4B5882FA">
      <w:pPr>
        <w:keepNext w:val="0"/>
        <w:keepLines w:val="0"/>
        <w:widowControl/>
        <w:suppressLineNumbers w:val="0"/>
        <w:jc w:val="both"/>
        <w:rPr>
          <w:rFonts w:hint="eastAsia" w:ascii="仿宋_GB2312" w:hAnsi="宋体" w:cs="Times New Roman"/>
          <w:kern w:val="2"/>
          <w:sz w:val="32"/>
          <w:szCs w:val="28"/>
          <w:highlight w:val="none"/>
          <w:lang w:val="en-US" w:eastAsia="zh-CN" w:bidi="ar-SA"/>
        </w:rPr>
      </w:pPr>
    </w:p>
    <w:p w14:paraId="0D5556F4">
      <w:pPr>
        <w:keepNext w:val="0"/>
        <w:keepLines w:val="0"/>
        <w:widowControl/>
        <w:suppressLineNumbers w:val="0"/>
        <w:jc w:val="both"/>
        <w:rPr>
          <w:rFonts w:hint="eastAsia" w:ascii="仿宋_GB2312" w:hAnsi="宋体" w:cs="Times New Roman"/>
          <w:kern w:val="2"/>
          <w:sz w:val="32"/>
          <w:szCs w:val="28"/>
          <w:highlight w:val="none"/>
          <w:lang w:val="en-US" w:eastAsia="zh-CN" w:bidi="ar-SA"/>
        </w:rPr>
      </w:pPr>
    </w:p>
    <w:p w14:paraId="77019B60">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en-US" w:eastAsia="zh-CN" w:bidi="ar-SA"/>
        </w:rPr>
        <w:t>4.7.2</w:t>
      </w:r>
      <w:r>
        <w:rPr>
          <w:rFonts w:hint="eastAsia" w:ascii="仿宋_GB2312" w:hAnsi="宋体" w:cs="Times New Roman"/>
          <w:kern w:val="2"/>
          <w:sz w:val="32"/>
          <w:szCs w:val="28"/>
          <w:highlight w:val="none"/>
          <w:lang w:val="zh-CN" w:eastAsia="zh-CN" w:bidi="ar-SA"/>
        </w:rPr>
        <w:t>养殖密度</w:t>
      </w:r>
    </w:p>
    <w:p w14:paraId="7AFD8FAD">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zh-CN" w:eastAsia="zh-CN" w:bidi="ar-SA"/>
        </w:rPr>
        <w:t>产蛋期种鸡体型已完全发育、活动需求高，且需保障采食、饮水、产蛋的独立空间，平养密度≤6只/㎡、笼养密度≤10只/㎡可避免拥挤引发的啄癖、应激、产蛋箱争抢，降低破蛋率、脏蛋率。</w:t>
      </w:r>
    </w:p>
    <w:tbl>
      <w:tblPr>
        <w:tblStyle w:val="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5FBEE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87" w:type="dxa"/>
          </w:tcPr>
          <w:p w14:paraId="0680F4D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eastAsia="仿宋_GB2312"/>
                <w:sz w:val="32"/>
                <w:szCs w:val="28"/>
                <w:vertAlign w:val="baseline"/>
                <w:lang w:eastAsia="zh-CN"/>
              </w:rPr>
            </w:pPr>
            <w:r>
              <w:rPr>
                <w:rFonts w:hint="eastAsia" w:ascii="仿宋_GB2312" w:hAnsi="宋体" w:cs="Times New Roman"/>
                <w:kern w:val="2"/>
                <w:sz w:val="32"/>
                <w:szCs w:val="28"/>
                <w:highlight w:val="none"/>
                <w:lang w:val="zh-CN" w:eastAsia="zh-CN" w:bidi="ar-SA"/>
              </w:rPr>
              <w:drawing>
                <wp:inline distT="0" distB="0" distL="114300" distR="114300">
                  <wp:extent cx="2879725" cy="2159635"/>
                  <wp:effectExtent l="0" t="0" r="15875" b="12065"/>
                  <wp:docPr id="22" name="图片 22" descr="9721c01bdf50b5bfc7c8f96671417d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721c01bdf50b5bfc7c8f96671417d5d"/>
                          <pic:cNvPicPr>
                            <a:picLocks noChangeAspect="1"/>
                          </pic:cNvPicPr>
                        </pic:nvPicPr>
                        <pic:blipFill>
                          <a:blip r:embed="rId25"/>
                          <a:stretch>
                            <a:fillRect/>
                          </a:stretch>
                        </pic:blipFill>
                        <pic:spPr>
                          <a:xfrm>
                            <a:off x="0" y="0"/>
                            <a:ext cx="2879725" cy="2159635"/>
                          </a:xfrm>
                          <a:prstGeom prst="rect">
                            <a:avLst/>
                          </a:prstGeom>
                        </pic:spPr>
                      </pic:pic>
                    </a:graphicData>
                  </a:graphic>
                </wp:inline>
              </w:drawing>
            </w:r>
          </w:p>
        </w:tc>
        <w:tc>
          <w:tcPr>
            <w:tcW w:w="4587" w:type="dxa"/>
          </w:tcPr>
          <w:p w14:paraId="0592AB4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zh-CN" w:eastAsia="zh-CN" w:bidi="ar-SA"/>
              </w:rPr>
              <w:drawing>
                <wp:inline distT="0" distB="0" distL="114300" distR="114300">
                  <wp:extent cx="2880360" cy="2160270"/>
                  <wp:effectExtent l="0" t="0" r="15240" b="11430"/>
                  <wp:docPr id="26" name="图片 26" descr="afc1acf6af0a4dab64a49b57b53f8c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afc1acf6af0a4dab64a49b57b53f8cee"/>
                          <pic:cNvPicPr>
                            <a:picLocks noChangeAspect="1"/>
                          </pic:cNvPicPr>
                        </pic:nvPicPr>
                        <pic:blipFill>
                          <a:blip r:embed="rId26"/>
                          <a:stretch>
                            <a:fillRect/>
                          </a:stretch>
                        </pic:blipFill>
                        <pic:spPr>
                          <a:xfrm>
                            <a:off x="0" y="0"/>
                            <a:ext cx="2880360" cy="2160270"/>
                          </a:xfrm>
                          <a:prstGeom prst="rect">
                            <a:avLst/>
                          </a:prstGeom>
                        </pic:spPr>
                      </pic:pic>
                    </a:graphicData>
                  </a:graphic>
                </wp:inline>
              </w:drawing>
            </w:r>
          </w:p>
        </w:tc>
      </w:tr>
      <w:tr w14:paraId="5715DA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174" w:type="dxa"/>
            <w:gridSpan w:val="2"/>
          </w:tcPr>
          <w:p w14:paraId="55532E1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仿宋_GB2312" w:hAnsi="宋体"/>
                <w:sz w:val="28"/>
                <w:szCs w:val="24"/>
                <w:vertAlign w:val="baseline"/>
                <w:lang w:val="en-US" w:eastAsia="zh-CN"/>
              </w:rPr>
            </w:pPr>
            <w:r>
              <w:rPr>
                <w:rFonts w:hint="eastAsia" w:ascii="仿宋_GB2312" w:hAnsi="宋体"/>
                <w:sz w:val="28"/>
                <w:szCs w:val="24"/>
                <w:vertAlign w:val="baseline"/>
                <w:lang w:val="en-US" w:eastAsia="zh-CN"/>
              </w:rPr>
              <w:t>图5 七百弄鸡产蛋期管理</w:t>
            </w:r>
          </w:p>
        </w:tc>
      </w:tr>
    </w:tbl>
    <w:p w14:paraId="081C0C5E">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en-US" w:eastAsia="zh-CN" w:bidi="ar-SA"/>
        </w:rPr>
        <w:t>4.7.3</w:t>
      </w:r>
      <w:r>
        <w:rPr>
          <w:rFonts w:hint="eastAsia" w:ascii="仿宋_GB2312" w:hAnsi="宋体" w:cs="Times New Roman"/>
          <w:kern w:val="2"/>
          <w:sz w:val="32"/>
          <w:szCs w:val="28"/>
          <w:highlight w:val="none"/>
          <w:lang w:val="zh-CN" w:eastAsia="zh-CN" w:bidi="ar-SA"/>
        </w:rPr>
        <w:t>光照控制</w:t>
      </w:r>
    </w:p>
    <w:p w14:paraId="51793398">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zh-CN" w:eastAsia="zh-CN" w:bidi="ar-SA"/>
        </w:rPr>
        <w:t>141日龄逐步递增光照可温和刺激生殖系统发育，避免突然加光引发的应激，最终16h的长光照维持产蛋率稳定；30～40Lx的光照强度可保证鸡群充分采食，同时避免强光引发的啄癖，适配产蛋期种鸡的生理需求。</w:t>
      </w:r>
    </w:p>
    <w:p w14:paraId="40C45CF8">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en-US" w:eastAsia="zh-CN" w:bidi="ar-SA"/>
        </w:rPr>
        <w:t>4.7.4</w:t>
      </w:r>
      <w:r>
        <w:rPr>
          <w:rFonts w:hint="eastAsia" w:ascii="仿宋_GB2312" w:hAnsi="宋体" w:cs="Times New Roman"/>
          <w:kern w:val="2"/>
          <w:sz w:val="32"/>
          <w:szCs w:val="28"/>
          <w:highlight w:val="none"/>
          <w:lang w:val="zh-CN" w:eastAsia="zh-CN" w:bidi="ar-SA"/>
        </w:rPr>
        <w:t>选种</w:t>
      </w:r>
    </w:p>
    <w:p w14:paraId="72A25957">
      <w:pPr>
        <w:keepNext w:val="0"/>
        <w:keepLines w:val="0"/>
        <w:widowControl/>
        <w:suppressLineNumbers w:val="0"/>
        <w:jc w:val="both"/>
        <w:rPr>
          <w:rFonts w:hint="eastAsia" w:ascii="仿宋_GB2312" w:hAnsi="宋体" w:cs="Times New Roman"/>
          <w:kern w:val="2"/>
          <w:sz w:val="32"/>
          <w:szCs w:val="28"/>
          <w:highlight w:val="none"/>
          <w:lang w:val="zh-CN" w:eastAsia="zh-CN" w:bidi="ar-SA"/>
        </w:rPr>
      </w:pPr>
      <w:r>
        <w:rPr>
          <w:rFonts w:hint="eastAsia" w:ascii="仿宋_GB2312" w:hAnsi="宋体" w:cs="Times New Roman"/>
          <w:kern w:val="2"/>
          <w:sz w:val="32"/>
          <w:szCs w:val="28"/>
          <w:highlight w:val="none"/>
          <w:lang w:val="zh-CN" w:eastAsia="zh-CN" w:bidi="ar-SA"/>
        </w:rPr>
        <w:t>141～147日龄开展第3次选种，该阶段种鸡已完成性成熟，选择符合七百弄鸡品种特征、体格健壮的种公鸡，可从源头保障品种纯度；同步检测精液质量，淘汰精液量＜0.3mL、精子活率＜80%、密度＜20×10⁸个/mL的公鸡，提升种蛋受精率、孵化率，避免劣质公鸡影响整个鸡群的繁殖效率，为七百弄鸡保种、选育提供保障。</w:t>
      </w:r>
    </w:p>
    <w:p w14:paraId="529055DC">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cs="Times New Roman"/>
          <w:b/>
          <w:kern w:val="2"/>
          <w:sz w:val="32"/>
          <w:szCs w:val="32"/>
          <w:lang w:val="zh-CN" w:eastAsia="zh-CN" w:bidi="ar-SA"/>
        </w:rPr>
      </w:pPr>
      <w:r>
        <w:rPr>
          <w:rFonts w:hint="eastAsia" w:ascii="仿宋_GB2312" w:hAnsi="宋体" w:eastAsia="仿宋_GB2312" w:cs="Times New Roman"/>
          <w:b/>
          <w:kern w:val="2"/>
          <w:sz w:val="32"/>
          <w:szCs w:val="32"/>
          <w:lang w:val="zh-CN" w:eastAsia="zh-CN" w:bidi="ar-SA"/>
        </w:rPr>
        <w:t>（五）</w:t>
      </w:r>
      <w:r>
        <w:rPr>
          <w:rFonts w:hint="eastAsia" w:ascii="仿宋_GB2312" w:hAnsi="宋体" w:cs="Times New Roman"/>
          <w:b/>
          <w:kern w:val="2"/>
          <w:sz w:val="32"/>
          <w:szCs w:val="32"/>
          <w:lang w:val="zh-CN" w:eastAsia="zh-CN" w:bidi="ar-SA"/>
        </w:rPr>
        <w:t>繁殖</w:t>
      </w:r>
    </w:p>
    <w:p w14:paraId="6110B58C">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eastAsia="zh-CN"/>
        </w:rPr>
      </w:pPr>
      <w:r>
        <w:rPr>
          <w:rFonts w:hint="eastAsia" w:ascii="仿宋_GB2312" w:hAnsi="宋体" w:eastAsia="仿宋_GB2312" w:cs="Times New Roman"/>
          <w:sz w:val="32"/>
          <w:szCs w:val="28"/>
          <w:highlight w:val="none"/>
          <w:lang w:val="zh-CN" w:eastAsia="zh-CN"/>
        </w:rPr>
        <w:t>配种环节</w:t>
      </w:r>
      <w:r>
        <w:rPr>
          <w:rFonts w:hint="eastAsia" w:ascii="仿宋_GB2312" w:hAnsi="宋体" w:cs="Times New Roman"/>
          <w:sz w:val="32"/>
          <w:szCs w:val="28"/>
          <w:highlight w:val="none"/>
          <w:lang w:val="en-US" w:eastAsia="zh-CN"/>
        </w:rPr>
        <w:t>按</w:t>
      </w:r>
      <w:r>
        <w:rPr>
          <w:rFonts w:hint="eastAsia" w:ascii="仿宋_GB2312" w:hAnsi="宋体" w:eastAsia="仿宋_GB2312" w:cs="Times New Roman"/>
          <w:sz w:val="32"/>
          <w:szCs w:val="28"/>
          <w:highlight w:val="none"/>
          <w:lang w:val="zh-CN" w:eastAsia="zh-CN"/>
        </w:rPr>
        <w:t>NY/T 3458</w:t>
      </w:r>
      <w:r>
        <w:rPr>
          <w:rFonts w:hint="eastAsia" w:ascii="仿宋_GB2312" w:hAnsi="宋体" w:cs="Times New Roman"/>
          <w:sz w:val="32"/>
          <w:szCs w:val="28"/>
          <w:highlight w:val="none"/>
          <w:lang w:val="en-US" w:eastAsia="zh-CN"/>
        </w:rPr>
        <w:t>的规定执行</w:t>
      </w:r>
      <w:r>
        <w:rPr>
          <w:rFonts w:hint="eastAsia" w:ascii="仿宋_GB2312" w:hAnsi="宋体" w:eastAsia="仿宋_GB2312" w:cs="Times New Roman"/>
          <w:sz w:val="32"/>
          <w:szCs w:val="28"/>
          <w:highlight w:val="none"/>
          <w:lang w:val="zh-CN" w:eastAsia="zh-CN"/>
        </w:rPr>
        <w:t>，设定1:25</w:t>
      </w:r>
      <w:r>
        <w:rPr>
          <w:rFonts w:hint="eastAsia" w:ascii="仿宋_GB2312" w:hAnsi="宋体" w:cs="Times New Roman"/>
          <w:sz w:val="32"/>
          <w:szCs w:val="28"/>
          <w:highlight w:val="none"/>
          <w:lang w:val="en-US" w:eastAsia="zh-CN"/>
        </w:rPr>
        <w:t>～</w:t>
      </w:r>
      <w:r>
        <w:rPr>
          <w:rFonts w:hint="eastAsia" w:ascii="仿宋_GB2312" w:hAnsi="宋体" w:eastAsia="仿宋_GB2312" w:cs="Times New Roman"/>
          <w:sz w:val="32"/>
          <w:szCs w:val="28"/>
          <w:highlight w:val="none"/>
          <w:lang w:val="zh-CN" w:eastAsia="zh-CN"/>
        </w:rPr>
        <w:t>1:30的公母比例，既保障种蛋高受精率，又避免公鸡过度损耗</w:t>
      </w:r>
      <w:r>
        <w:rPr>
          <w:rFonts w:hint="eastAsia" w:ascii="仿宋_GB2312" w:hAnsi="宋体" w:cs="Times New Roman"/>
          <w:sz w:val="32"/>
          <w:szCs w:val="28"/>
          <w:highlight w:val="none"/>
          <w:lang w:val="zh-CN" w:eastAsia="zh-CN"/>
        </w:rPr>
        <w:t>。</w:t>
      </w:r>
      <w:r>
        <w:rPr>
          <w:rFonts w:hint="eastAsia" w:ascii="仿宋_GB2312" w:hAnsi="宋体" w:eastAsia="仿宋_GB2312" w:cs="Times New Roman"/>
          <w:sz w:val="32"/>
          <w:szCs w:val="28"/>
          <w:highlight w:val="none"/>
          <w:lang w:val="zh-CN" w:eastAsia="zh-CN"/>
        </w:rPr>
        <w:t>种蛋管理通过筛选开产1</w:t>
      </w:r>
      <w:r>
        <w:rPr>
          <w:rFonts w:hint="eastAsia" w:ascii="仿宋_GB2312" w:hAnsi="宋体" w:cs="Times New Roman"/>
          <w:sz w:val="32"/>
          <w:szCs w:val="28"/>
          <w:highlight w:val="none"/>
          <w:lang w:val="en-US" w:eastAsia="zh-CN"/>
        </w:rPr>
        <w:t>～</w:t>
      </w:r>
      <w:r>
        <w:rPr>
          <w:rFonts w:hint="eastAsia" w:ascii="仿宋_GB2312" w:hAnsi="宋体" w:eastAsia="仿宋_GB2312" w:cs="Times New Roman"/>
          <w:sz w:val="32"/>
          <w:szCs w:val="28"/>
          <w:highlight w:val="none"/>
          <w:lang w:val="zh-CN" w:eastAsia="zh-CN"/>
        </w:rPr>
        <w:t>2个月后蛋重43g以上、蛋形指数1.30</w:t>
      </w:r>
      <w:r>
        <w:rPr>
          <w:rFonts w:hint="eastAsia" w:ascii="仿宋_GB2312" w:hAnsi="宋体" w:cs="Times New Roman"/>
          <w:sz w:val="32"/>
          <w:szCs w:val="28"/>
          <w:highlight w:val="none"/>
          <w:lang w:val="en-US" w:eastAsia="zh-CN"/>
        </w:rPr>
        <w:t>～</w:t>
      </w:r>
      <w:r>
        <w:rPr>
          <w:rFonts w:hint="eastAsia" w:ascii="仿宋_GB2312" w:hAnsi="宋体" w:eastAsia="仿宋_GB2312" w:cs="Times New Roman"/>
          <w:sz w:val="32"/>
          <w:szCs w:val="28"/>
          <w:highlight w:val="none"/>
          <w:lang w:val="zh-CN" w:eastAsia="zh-CN"/>
        </w:rPr>
        <w:t>1.35的优质种源，配合甲醛+高锰酸钾密闭熏蒸消毒阻断病原，最大化保留种蛋活力与孵化潜力</w:t>
      </w:r>
      <w:r>
        <w:rPr>
          <w:rFonts w:hint="eastAsia" w:ascii="仿宋_GB2312" w:hAnsi="宋体" w:cs="Times New Roman"/>
          <w:sz w:val="32"/>
          <w:szCs w:val="28"/>
          <w:highlight w:val="none"/>
          <w:lang w:val="zh-CN" w:eastAsia="zh-CN"/>
        </w:rPr>
        <w:t>。</w:t>
      </w:r>
      <w:r>
        <w:rPr>
          <w:rFonts w:hint="eastAsia" w:ascii="仿宋_GB2312" w:hAnsi="宋体" w:eastAsia="仿宋_GB2312" w:cs="Times New Roman"/>
          <w:sz w:val="32"/>
          <w:szCs w:val="28"/>
          <w:highlight w:val="none"/>
          <w:lang w:val="zh-CN" w:eastAsia="zh-CN"/>
        </w:rPr>
        <w:t>孵化管理通过分阶段精准控温控湿，适配七百弄鸡发育规律，结合</w:t>
      </w:r>
      <w:r>
        <w:rPr>
          <w:rFonts w:hint="eastAsia" w:ascii="仿宋_GB2312" w:hAnsi="宋体" w:cs="Times New Roman"/>
          <w:sz w:val="32"/>
          <w:szCs w:val="28"/>
          <w:highlight w:val="none"/>
          <w:lang w:val="en-US" w:eastAsia="zh-CN"/>
        </w:rPr>
        <w:t>2</w:t>
      </w:r>
      <w:r>
        <w:rPr>
          <w:rFonts w:hint="eastAsia" w:ascii="仿宋_GB2312" w:hAnsi="宋体" w:eastAsia="仿宋_GB2312" w:cs="Times New Roman"/>
          <w:sz w:val="32"/>
          <w:szCs w:val="28"/>
          <w:highlight w:val="none"/>
          <w:lang w:val="zh-CN" w:eastAsia="zh-CN"/>
        </w:rPr>
        <w:t>次照蛋剔除无精蛋与死胚、第21天间隔4小时轻快手拣雏，提升孵化率与雏鸡健康度</w:t>
      </w:r>
      <w:r>
        <w:rPr>
          <w:rFonts w:hint="eastAsia" w:ascii="仿宋_GB2312" w:hAnsi="宋体" w:cs="Times New Roman"/>
          <w:sz w:val="32"/>
          <w:szCs w:val="28"/>
          <w:highlight w:val="none"/>
          <w:lang w:val="zh-CN" w:eastAsia="zh-CN"/>
        </w:rPr>
        <w:t>。</w:t>
      </w:r>
      <w:r>
        <w:rPr>
          <w:rFonts w:hint="eastAsia" w:ascii="仿宋_GB2312" w:hAnsi="宋体" w:eastAsia="仿宋_GB2312" w:cs="Times New Roman"/>
          <w:sz w:val="32"/>
          <w:szCs w:val="28"/>
          <w:highlight w:val="none"/>
          <w:lang w:val="zh-CN" w:eastAsia="zh-CN"/>
        </w:rPr>
        <w:t>最终通过雏鸡翅号编码建立完整谱系追溯体系，从配种、种蛋、孵化全流程形成闭环，保障七百弄鸡的品种纯度、种源质量，支撑产业标准化发展</w:t>
      </w:r>
      <w:r>
        <w:rPr>
          <w:rFonts w:hint="eastAsia" w:ascii="仿宋_GB2312" w:hAnsi="宋体" w:cs="Times New Roman"/>
          <w:sz w:val="32"/>
          <w:szCs w:val="28"/>
          <w:highlight w:val="none"/>
          <w:lang w:val="zh-CN" w:eastAsia="zh-CN"/>
        </w:rPr>
        <w:t>。</w:t>
      </w:r>
    </w:p>
    <w:p w14:paraId="6CE950E3">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cs="Times New Roman"/>
          <w:b/>
          <w:kern w:val="2"/>
          <w:sz w:val="32"/>
          <w:szCs w:val="32"/>
          <w:lang w:val="zh-CN" w:eastAsia="zh-CN" w:bidi="ar-SA"/>
        </w:rPr>
      </w:pPr>
      <w:r>
        <w:rPr>
          <w:rFonts w:hint="eastAsia" w:ascii="仿宋_GB2312" w:hAnsi="宋体" w:eastAsia="仿宋_GB2312" w:cs="Times New Roman"/>
          <w:b/>
          <w:kern w:val="2"/>
          <w:sz w:val="32"/>
          <w:szCs w:val="32"/>
          <w:lang w:val="zh-CN" w:eastAsia="zh-CN" w:bidi="ar-SA"/>
        </w:rPr>
        <w:t>（六）</w:t>
      </w:r>
      <w:r>
        <w:rPr>
          <w:rFonts w:hint="eastAsia" w:ascii="仿宋_GB2312" w:hAnsi="宋体" w:cs="Times New Roman"/>
          <w:b/>
          <w:kern w:val="2"/>
          <w:sz w:val="32"/>
          <w:szCs w:val="32"/>
          <w:lang w:val="zh-CN" w:eastAsia="zh-CN" w:bidi="ar-SA"/>
        </w:rPr>
        <w:t>疫病防控</w:t>
      </w:r>
    </w:p>
    <w:p w14:paraId="06025998">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cs="Times New Roman"/>
          <w:sz w:val="32"/>
          <w:szCs w:val="28"/>
          <w:highlight w:val="none"/>
          <w:lang w:val="en-US" w:eastAsia="zh-CN"/>
        </w:rPr>
      </w:pPr>
      <w:r>
        <w:rPr>
          <w:rFonts w:hint="eastAsia" w:ascii="仿宋_GB2312" w:hAnsi="宋体" w:cs="Times New Roman"/>
          <w:sz w:val="32"/>
          <w:szCs w:val="28"/>
          <w:highlight w:val="none"/>
          <w:lang w:val="en-US" w:eastAsia="zh-CN"/>
        </w:rPr>
        <w:t>6.1卫生防疫</w:t>
      </w:r>
    </w:p>
    <w:p w14:paraId="616D1E68">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eastAsia="zh-CN"/>
        </w:rPr>
      </w:pPr>
      <w:r>
        <w:rPr>
          <w:rFonts w:hint="eastAsia" w:ascii="仿宋_GB2312" w:hAnsi="宋体" w:eastAsia="仿宋_GB2312" w:cs="Times New Roman"/>
          <w:sz w:val="32"/>
          <w:szCs w:val="28"/>
          <w:highlight w:val="none"/>
          <w:lang w:val="zh-CN" w:eastAsia="zh-CN"/>
        </w:rPr>
        <w:t>同一批鸡同时进场、同时出场。出场后彻底清洗消毒鸡舍，能有效切断不同批次间病原体的循环感染，是控制烈性传染病</w:t>
      </w:r>
      <w:r>
        <w:rPr>
          <w:rFonts w:hint="eastAsia" w:ascii="仿宋_GB2312" w:hAnsi="宋体" w:cs="Times New Roman"/>
          <w:sz w:val="32"/>
          <w:szCs w:val="28"/>
          <w:highlight w:val="none"/>
          <w:lang w:val="en-US" w:eastAsia="zh-CN"/>
        </w:rPr>
        <w:t>的</w:t>
      </w:r>
      <w:r>
        <w:rPr>
          <w:rFonts w:hint="eastAsia" w:ascii="仿宋_GB2312" w:hAnsi="宋体" w:eastAsia="仿宋_GB2312" w:cs="Times New Roman"/>
          <w:sz w:val="32"/>
          <w:szCs w:val="28"/>
          <w:highlight w:val="none"/>
          <w:lang w:val="zh-CN" w:eastAsia="zh-CN"/>
        </w:rPr>
        <w:t>有效手段。</w:t>
      </w:r>
    </w:p>
    <w:p w14:paraId="70E00E21">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eastAsia="zh-CN"/>
        </w:rPr>
      </w:pPr>
      <w:r>
        <w:rPr>
          <w:rFonts w:hint="eastAsia" w:ascii="仿宋_GB2312" w:hAnsi="宋体" w:cs="Times New Roman"/>
          <w:sz w:val="32"/>
          <w:szCs w:val="28"/>
          <w:highlight w:val="none"/>
          <w:lang w:val="en-US" w:eastAsia="zh-CN"/>
        </w:rPr>
        <w:t>6.2</w:t>
      </w:r>
      <w:r>
        <w:rPr>
          <w:rFonts w:hint="eastAsia" w:ascii="仿宋_GB2312" w:hAnsi="宋体" w:eastAsia="仿宋_GB2312" w:cs="Times New Roman"/>
          <w:sz w:val="32"/>
          <w:szCs w:val="28"/>
          <w:highlight w:val="none"/>
          <w:lang w:val="zh-CN" w:eastAsia="zh-CN"/>
        </w:rPr>
        <w:t>消毒与免疫</w:t>
      </w:r>
    </w:p>
    <w:p w14:paraId="3874D3E7">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eastAsia="zh-CN"/>
        </w:rPr>
      </w:pPr>
      <w:r>
        <w:rPr>
          <w:rFonts w:hint="eastAsia" w:ascii="仿宋_GB2312" w:hAnsi="宋体" w:cs="Times New Roman"/>
          <w:sz w:val="32"/>
          <w:szCs w:val="28"/>
          <w:highlight w:val="none"/>
          <w:lang w:val="en-US" w:eastAsia="zh-CN"/>
        </w:rPr>
        <w:t>按</w:t>
      </w:r>
      <w:r>
        <w:rPr>
          <w:rFonts w:hint="eastAsia" w:ascii="仿宋_GB2312" w:hAnsi="宋体" w:eastAsia="仿宋_GB2312" w:cs="Times New Roman"/>
          <w:sz w:val="32"/>
          <w:szCs w:val="28"/>
          <w:highlight w:val="none"/>
          <w:lang w:val="zh-CN" w:eastAsia="zh-CN"/>
        </w:rPr>
        <w:t>GB/T 25886</w:t>
      </w:r>
      <w:r>
        <w:rPr>
          <w:rFonts w:hint="eastAsia" w:ascii="仿宋_GB2312" w:hAnsi="宋体" w:cs="Times New Roman"/>
          <w:sz w:val="32"/>
          <w:szCs w:val="28"/>
          <w:highlight w:val="none"/>
          <w:lang w:val="en-US" w:eastAsia="zh-CN"/>
        </w:rPr>
        <w:t>规定进行</w:t>
      </w:r>
      <w:r>
        <w:rPr>
          <w:rFonts w:hint="eastAsia" w:ascii="仿宋_GB2312" w:hAnsi="宋体" w:eastAsia="仿宋_GB2312" w:cs="Times New Roman"/>
          <w:sz w:val="32"/>
          <w:szCs w:val="28"/>
          <w:highlight w:val="none"/>
          <w:lang w:val="zh-CN" w:eastAsia="zh-CN"/>
        </w:rPr>
        <w:t>定期消毒是为了降低环境中病原微生物的浓度。各地流行病的种类不同，</w:t>
      </w:r>
      <w:r>
        <w:rPr>
          <w:rFonts w:hint="eastAsia" w:ascii="仿宋_GB2312" w:hAnsi="宋体" w:cs="Times New Roman"/>
          <w:sz w:val="32"/>
          <w:szCs w:val="28"/>
          <w:highlight w:val="none"/>
          <w:lang w:val="en-US" w:eastAsia="zh-CN"/>
        </w:rPr>
        <w:t>需要</w:t>
      </w:r>
      <w:r>
        <w:rPr>
          <w:rFonts w:hint="eastAsia" w:ascii="仿宋_GB2312" w:hAnsi="宋体" w:eastAsia="仿宋_GB2312" w:cs="Times New Roman"/>
          <w:sz w:val="32"/>
          <w:szCs w:val="28"/>
          <w:highlight w:val="none"/>
          <w:lang w:val="zh-CN" w:eastAsia="zh-CN"/>
        </w:rPr>
        <w:t>因地制宜地制定免疫程序，才能起到保护作用。</w:t>
      </w:r>
    </w:p>
    <w:p w14:paraId="6543A3B5">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eastAsia="zh-CN"/>
        </w:rPr>
      </w:pPr>
      <w:r>
        <w:rPr>
          <w:rFonts w:hint="eastAsia" w:ascii="仿宋_GB2312" w:hAnsi="宋体" w:cs="Times New Roman"/>
          <w:sz w:val="32"/>
          <w:szCs w:val="28"/>
          <w:highlight w:val="none"/>
          <w:lang w:val="en-US" w:eastAsia="zh-CN"/>
        </w:rPr>
        <w:t>6.3</w:t>
      </w:r>
      <w:r>
        <w:rPr>
          <w:rFonts w:hint="eastAsia" w:ascii="仿宋_GB2312" w:hAnsi="宋体" w:eastAsia="仿宋_GB2312" w:cs="Times New Roman"/>
          <w:sz w:val="32"/>
          <w:szCs w:val="28"/>
          <w:highlight w:val="none"/>
          <w:lang w:val="zh-CN" w:eastAsia="zh-CN"/>
        </w:rPr>
        <w:t>药物使用与无害化处理</w:t>
      </w:r>
    </w:p>
    <w:p w14:paraId="68CF234F">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cs="Times New Roman"/>
          <w:sz w:val="32"/>
          <w:szCs w:val="28"/>
          <w:highlight w:val="none"/>
          <w:lang w:val="zh-CN" w:eastAsia="zh-CN"/>
        </w:rPr>
      </w:pPr>
      <w:r>
        <w:rPr>
          <w:rFonts w:hint="eastAsia" w:ascii="仿宋_GB2312" w:hAnsi="宋体" w:eastAsia="仿宋_GB2312" w:cs="Times New Roman"/>
          <w:sz w:val="32"/>
          <w:szCs w:val="28"/>
          <w:highlight w:val="none"/>
          <w:lang w:val="zh-CN" w:eastAsia="zh-CN"/>
        </w:rPr>
        <w:t>凭兽医处方与停药期</w:t>
      </w:r>
      <w:r>
        <w:rPr>
          <w:rFonts w:hint="eastAsia" w:ascii="仿宋_GB2312" w:hAnsi="宋体" w:cs="Times New Roman"/>
          <w:sz w:val="32"/>
          <w:szCs w:val="28"/>
          <w:highlight w:val="none"/>
          <w:lang w:val="zh-CN" w:eastAsia="zh-CN"/>
        </w:rPr>
        <w:t>，</w:t>
      </w:r>
      <w:r>
        <w:rPr>
          <w:rFonts w:hint="eastAsia" w:ascii="仿宋_GB2312" w:hAnsi="宋体" w:eastAsia="仿宋_GB2312" w:cs="Times New Roman"/>
          <w:sz w:val="32"/>
          <w:szCs w:val="28"/>
          <w:highlight w:val="none"/>
          <w:lang w:val="zh-CN" w:eastAsia="zh-CN"/>
        </w:rPr>
        <w:t>是为了防止滥用抗生素导致药物残留，确保鸡肉和鸡蛋的食品安全。病死鸡处理符合《病死及病害动物无害化处理技术规范》的规定，鸡粪污处理符合GB/T 36195的规定，污染物排放符合GB 18596的规定，既是为了环保，也是为了防止污染源通过环境</w:t>
      </w:r>
      <w:r>
        <w:rPr>
          <w:rFonts w:hint="eastAsia" w:ascii="仿宋_GB2312" w:hAnsi="宋体" w:cs="Times New Roman"/>
          <w:sz w:val="32"/>
          <w:szCs w:val="28"/>
          <w:highlight w:val="none"/>
          <w:lang w:val="en-US" w:eastAsia="zh-CN"/>
        </w:rPr>
        <w:t>影响</w:t>
      </w:r>
      <w:r>
        <w:rPr>
          <w:rFonts w:hint="eastAsia" w:ascii="仿宋_GB2312" w:hAnsi="宋体" w:eastAsia="仿宋_GB2312" w:cs="Times New Roman"/>
          <w:sz w:val="32"/>
          <w:szCs w:val="28"/>
          <w:highlight w:val="none"/>
          <w:lang w:val="zh-CN" w:eastAsia="zh-CN"/>
        </w:rPr>
        <w:t>鸡群。</w:t>
      </w:r>
    </w:p>
    <w:p w14:paraId="774E1361">
      <w:pPr>
        <w:pStyle w:val="31"/>
        <w:keepNext w:val="0"/>
        <w:keepLines w:val="0"/>
        <w:pageBreakBefore w:val="0"/>
        <w:numPr>
          <w:ilvl w:val="0"/>
          <w:numId w:val="0"/>
        </w:numPr>
        <w:kinsoku/>
        <w:overflowPunct/>
        <w:topLinePunct w:val="0"/>
        <w:autoSpaceDE w:val="0"/>
        <w:autoSpaceDN w:val="0"/>
        <w:bidi w:val="0"/>
        <w:adjustRightInd w:val="0"/>
        <w:snapToGrid/>
        <w:spacing w:line="560" w:lineRule="exact"/>
        <w:ind w:left="1005" w:leftChars="0" w:hanging="1005" w:firstLineChars="0"/>
        <w:jc w:val="left"/>
        <w:textAlignment w:val="auto"/>
        <w:rPr>
          <w:rFonts w:hint="eastAsia" w:ascii="仿宋_GB2312" w:hAnsi="宋体" w:cs="Times New Roman"/>
          <w:b/>
          <w:kern w:val="2"/>
          <w:sz w:val="32"/>
          <w:szCs w:val="32"/>
          <w:lang w:val="zh-CN" w:eastAsia="zh-CN" w:bidi="ar-SA"/>
        </w:rPr>
      </w:pPr>
      <w:r>
        <w:rPr>
          <w:rFonts w:hint="eastAsia" w:ascii="仿宋_GB2312" w:hAnsi="宋体" w:eastAsia="仿宋_GB2312" w:cs="Times New Roman"/>
          <w:b/>
          <w:kern w:val="2"/>
          <w:sz w:val="32"/>
          <w:szCs w:val="32"/>
          <w:lang w:val="zh-CN" w:eastAsia="zh-CN" w:bidi="ar-SA"/>
        </w:rPr>
        <w:t>（</w:t>
      </w:r>
      <w:r>
        <w:rPr>
          <w:rFonts w:hint="eastAsia" w:ascii="仿宋_GB2312" w:hAnsi="宋体" w:cs="Times New Roman"/>
          <w:b/>
          <w:kern w:val="2"/>
          <w:sz w:val="32"/>
          <w:szCs w:val="32"/>
          <w:lang w:val="en-US" w:eastAsia="zh-CN" w:bidi="ar-SA"/>
        </w:rPr>
        <w:t>七</w:t>
      </w:r>
      <w:r>
        <w:rPr>
          <w:rFonts w:hint="eastAsia" w:ascii="仿宋_GB2312" w:hAnsi="宋体" w:eastAsia="仿宋_GB2312" w:cs="Times New Roman"/>
          <w:b/>
          <w:kern w:val="2"/>
          <w:sz w:val="32"/>
          <w:szCs w:val="32"/>
          <w:lang w:val="zh-CN" w:eastAsia="zh-CN" w:bidi="ar-SA"/>
        </w:rPr>
        <w:t>）</w:t>
      </w:r>
      <w:r>
        <w:rPr>
          <w:rFonts w:hint="eastAsia" w:ascii="仿宋_GB2312" w:hAnsi="宋体" w:cs="Times New Roman"/>
          <w:b/>
          <w:kern w:val="2"/>
          <w:sz w:val="32"/>
          <w:szCs w:val="32"/>
          <w:lang w:val="zh-CN" w:eastAsia="zh-CN" w:bidi="ar-SA"/>
        </w:rPr>
        <w:t>档案</w:t>
      </w:r>
      <w:r>
        <w:rPr>
          <w:rFonts w:hint="eastAsia" w:ascii="仿宋_GB2312" w:hAnsi="宋体" w:cs="Times New Roman"/>
          <w:b/>
          <w:kern w:val="2"/>
          <w:sz w:val="32"/>
          <w:szCs w:val="32"/>
          <w:lang w:val="en-US" w:eastAsia="zh-CN" w:bidi="ar-SA"/>
        </w:rPr>
        <w:t>记录</w:t>
      </w:r>
    </w:p>
    <w:p w14:paraId="32B498B4">
      <w:pPr>
        <w:pStyle w:val="31"/>
        <w:keepNext w:val="0"/>
        <w:keepLines w:val="0"/>
        <w:pageBreakBefore w:val="0"/>
        <w:widowControl w:val="0"/>
        <w:numPr>
          <w:ilvl w:val="0"/>
          <w:numId w:val="0"/>
        </w:numPr>
        <w:kinsoku/>
        <w:wordWrap/>
        <w:overflowPunct/>
        <w:topLinePunct w:val="0"/>
        <w:autoSpaceDE w:val="0"/>
        <w:autoSpaceDN w:val="0"/>
        <w:bidi w:val="0"/>
        <w:adjustRightInd w:val="0"/>
        <w:snapToGrid/>
        <w:spacing w:line="560" w:lineRule="exact"/>
        <w:ind w:firstLine="640" w:firstLineChars="200"/>
        <w:jc w:val="left"/>
        <w:textAlignment w:val="auto"/>
      </w:pPr>
      <w:r>
        <w:rPr>
          <w:rFonts w:hint="eastAsia" w:ascii="仿宋_GB2312" w:hAnsi="宋体" w:eastAsia="仿宋_GB2312"/>
          <w:sz w:val="32"/>
          <w:szCs w:val="28"/>
          <w:highlight w:val="none"/>
          <w:lang w:val="zh-CN"/>
        </w:rPr>
        <w:t>记录鸡的品种来源、饲料消耗、免疫记录、用药情况、产蛋性能、死亡淘汰等数据。</w:t>
      </w:r>
      <w:r>
        <w:rPr>
          <w:rFonts w:hint="eastAsia" w:ascii="仿宋_GB2312" w:hAnsi="宋体"/>
          <w:sz w:val="32"/>
          <w:szCs w:val="28"/>
          <w:highlight w:val="none"/>
          <w:lang w:val="en-US" w:eastAsia="zh-CN"/>
        </w:rPr>
        <w:t>如果</w:t>
      </w:r>
      <w:r>
        <w:rPr>
          <w:rFonts w:hint="eastAsia" w:ascii="仿宋_GB2312" w:hAnsi="宋体" w:eastAsia="仿宋_GB2312"/>
          <w:sz w:val="32"/>
          <w:szCs w:val="28"/>
          <w:highlight w:val="none"/>
          <w:lang w:val="zh-CN"/>
        </w:rPr>
        <w:t>出现问题，可以迅速回溯查找原因，也是未来选种育种最基础的数据支撑</w:t>
      </w:r>
      <w:r>
        <w:rPr>
          <w:rFonts w:hint="eastAsia" w:ascii="仿宋_GB2312" w:hAnsi="宋体"/>
          <w:sz w:val="32"/>
          <w:szCs w:val="28"/>
          <w:highlight w:val="none"/>
          <w:lang w:val="zh-CN"/>
        </w:rPr>
        <w:t>。</w:t>
      </w:r>
    </w:p>
    <w:p w14:paraId="412D30FF">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bookmarkStart w:id="2" w:name="_Toc526940086"/>
      <w:r>
        <w:rPr>
          <w:rFonts w:hint="eastAsia" w:ascii="黑体" w:hAnsi="黑体" w:eastAsia="黑体" w:cs="仿宋_GB2312"/>
          <w:sz w:val="32"/>
          <w:szCs w:val="32"/>
        </w:rPr>
        <w:t>六、</w:t>
      </w:r>
      <w:bookmarkEnd w:id="2"/>
      <w:r>
        <w:rPr>
          <w:rFonts w:hint="eastAsia" w:ascii="黑体" w:hAnsi="黑体" w:eastAsia="黑体" w:cs="仿宋_GB2312"/>
          <w:sz w:val="32"/>
          <w:szCs w:val="32"/>
        </w:rPr>
        <w:t>重大分歧意见的处理经过和依据</w:t>
      </w:r>
    </w:p>
    <w:p w14:paraId="7DBD7D8D">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七</w:t>
      </w:r>
      <w:r>
        <w:rPr>
          <w:rFonts w:ascii="黑体" w:hAnsi="黑体" w:eastAsia="黑体" w:cs="仿宋_GB2312"/>
          <w:sz w:val="32"/>
          <w:szCs w:val="32"/>
        </w:rPr>
        <w:t>、</w:t>
      </w:r>
      <w:r>
        <w:rPr>
          <w:rFonts w:hint="eastAsia" w:ascii="黑体" w:hAnsi="黑体" w:eastAsia="黑体" w:cs="仿宋_GB2312"/>
          <w:sz w:val="32"/>
          <w:szCs w:val="32"/>
        </w:rPr>
        <w:t>实施标准的措施</w:t>
      </w:r>
    </w:p>
    <w:p w14:paraId="67C45D00">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（一）标准报批发布后，成立标准宣贯工作组</w:t>
      </w:r>
    </w:p>
    <w:p w14:paraId="7330B5F1">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（二）组织开展标准宣贯培训</w:t>
      </w:r>
    </w:p>
    <w:p w14:paraId="38C99CE1">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（三）开展标准实施交流会，收集标准实施反馈信息</w:t>
      </w:r>
    </w:p>
    <w:p w14:paraId="336AB236">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firstLine="643" w:firstLineChars="200"/>
        <w:textAlignment w:val="auto"/>
        <w:rPr>
          <w:rFonts w:ascii="仿宋_GB2312" w:hAnsi="宋体" w:eastAsia="仿宋_GB2312"/>
          <w:b/>
          <w:sz w:val="32"/>
          <w:szCs w:val="28"/>
        </w:rPr>
      </w:pPr>
      <w:r>
        <w:rPr>
          <w:rFonts w:hint="eastAsia" w:ascii="仿宋_GB2312" w:hAnsi="宋体" w:eastAsia="仿宋_GB2312"/>
          <w:b/>
          <w:sz w:val="32"/>
          <w:szCs w:val="28"/>
        </w:rPr>
        <w:t>（四）开展标准实施效果评估</w:t>
      </w:r>
    </w:p>
    <w:p w14:paraId="7DE0DDFE">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firstLine="640" w:firstLineChars="200"/>
        <w:jc w:val="left"/>
        <w:textAlignment w:val="auto"/>
        <w:rPr>
          <w:rFonts w:ascii="黑体" w:hAnsi="黑体" w:eastAsia="黑体" w:cs="仿宋_GB2312"/>
          <w:sz w:val="32"/>
          <w:szCs w:val="32"/>
        </w:rPr>
      </w:pPr>
      <w:r>
        <w:rPr>
          <w:rFonts w:hint="eastAsia" w:ascii="黑体" w:hAnsi="黑体" w:eastAsia="黑体" w:cs="仿宋_GB2312"/>
          <w:sz w:val="32"/>
          <w:szCs w:val="32"/>
        </w:rPr>
        <w:t>八、其他应当说明的事项</w:t>
      </w:r>
    </w:p>
    <w:p w14:paraId="23A53EB2">
      <w:pPr>
        <w:keepNext w:val="0"/>
        <w:keepLines w:val="0"/>
        <w:pageBreakBefore w:val="0"/>
        <w:kinsoku/>
        <w:overflowPunct/>
        <w:topLinePunct w:val="0"/>
        <w:bidi w:val="0"/>
        <w:snapToGrid/>
        <w:spacing w:line="560" w:lineRule="exact"/>
        <w:ind w:firstLine="640" w:firstLineChars="200"/>
        <w:textAlignment w:val="auto"/>
        <w:rPr>
          <w:rFonts w:ascii="仿宋_GB2312" w:hAnsi="宋体" w:eastAsia="仿宋_GB2312"/>
          <w:sz w:val="32"/>
          <w:szCs w:val="28"/>
        </w:rPr>
      </w:pPr>
      <w:r>
        <w:rPr>
          <w:rFonts w:hint="eastAsia" w:ascii="仿宋_GB2312" w:hAnsi="宋体" w:eastAsia="仿宋_GB2312"/>
          <w:sz w:val="32"/>
          <w:szCs w:val="28"/>
        </w:rPr>
        <w:t>无。</w:t>
      </w:r>
    </w:p>
    <w:p w14:paraId="0FDE70D6">
      <w:pPr>
        <w:keepNext w:val="0"/>
        <w:keepLines w:val="0"/>
        <w:pageBreakBefore w:val="0"/>
        <w:kinsoku/>
        <w:overflowPunct/>
        <w:topLinePunct w:val="0"/>
        <w:bidi w:val="0"/>
        <w:snapToGrid/>
        <w:spacing w:line="560" w:lineRule="exact"/>
        <w:ind w:left="0" w:leftChars="0" w:firstLine="0" w:firstLineChars="0"/>
        <w:textAlignment w:val="auto"/>
        <w:rPr>
          <w:rFonts w:ascii="仿宋_GB2312" w:hAnsi="仿宋" w:eastAsia="仿宋_GB2312"/>
          <w:bCs/>
          <w:color w:val="000000"/>
          <w:sz w:val="36"/>
          <w:szCs w:val="32"/>
        </w:rPr>
      </w:pPr>
    </w:p>
    <w:p w14:paraId="639B864D">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sz w:val="32"/>
          <w:szCs w:val="28"/>
        </w:rPr>
      </w:pPr>
      <w:r>
        <w:rPr>
          <w:rFonts w:hint="eastAsia" w:ascii="仿宋_GB2312" w:hAnsi="宋体" w:eastAsia="仿宋_GB2312"/>
          <w:sz w:val="32"/>
          <w:szCs w:val="28"/>
        </w:rPr>
        <w:t>团体标准《七百弄种鸡饲养管理技术规程》</w:t>
      </w:r>
    </w:p>
    <w:p w14:paraId="607C1987">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sz w:val="32"/>
          <w:szCs w:val="28"/>
        </w:rPr>
      </w:pPr>
      <w:r>
        <w:rPr>
          <w:rFonts w:hint="eastAsia" w:ascii="仿宋_GB2312" w:hAnsi="宋体" w:eastAsia="仿宋_GB2312"/>
          <w:sz w:val="32"/>
          <w:szCs w:val="28"/>
        </w:rPr>
        <w:t xml:space="preserve">标准编制工作组 </w:t>
      </w:r>
      <w:r>
        <w:rPr>
          <w:rFonts w:ascii="仿宋_GB2312" w:hAnsi="宋体" w:eastAsia="仿宋_GB2312"/>
          <w:sz w:val="32"/>
          <w:szCs w:val="28"/>
        </w:rPr>
        <w:t xml:space="preserve">        </w:t>
      </w:r>
    </w:p>
    <w:p w14:paraId="17B67EA4">
      <w:pPr>
        <w:keepNext w:val="0"/>
        <w:keepLines w:val="0"/>
        <w:pageBreakBefore w:val="0"/>
        <w:kinsoku/>
        <w:wordWrap w:val="0"/>
        <w:overflowPunct/>
        <w:topLinePunct w:val="0"/>
        <w:bidi w:val="0"/>
        <w:snapToGrid/>
        <w:spacing w:line="560" w:lineRule="exact"/>
        <w:jc w:val="right"/>
        <w:textAlignment w:val="auto"/>
        <w:rPr>
          <w:rFonts w:ascii="仿宋_GB2312" w:hAnsi="宋体" w:eastAsia="仿宋_GB2312"/>
          <w:color w:val="FF0000"/>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3</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30</w:t>
      </w:r>
      <w:r>
        <w:rPr>
          <w:rFonts w:hint="eastAsia" w:ascii="仿宋_GB2312" w:hAnsi="宋体" w:eastAsia="仿宋_GB2312"/>
          <w:color w:val="auto"/>
          <w:sz w:val="32"/>
          <w:szCs w:val="28"/>
        </w:rPr>
        <w:t>日</w:t>
      </w:r>
      <w:r>
        <w:rPr>
          <w:rFonts w:hint="eastAsia" w:ascii="仿宋_GB2312" w:hAnsi="宋体" w:eastAsia="仿宋_GB2312"/>
          <w:color w:val="FF0000"/>
          <w:sz w:val="32"/>
          <w:szCs w:val="28"/>
        </w:rPr>
        <w:t xml:space="preserve">       </w:t>
      </w:r>
      <w:r>
        <w:rPr>
          <w:rFonts w:ascii="仿宋_GB2312" w:hAnsi="宋体" w:eastAsia="仿宋_GB2312"/>
          <w:color w:val="FF0000"/>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34"/>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新宋体.挀.挀.">
    <w:altName w:val="宋体"/>
    <w:panose1 w:val="00000000000000000000"/>
    <w:charset w:val="86"/>
    <w:family w:val="decorative"/>
    <w:pitch w:val="default"/>
    <w:sig w:usb0="00000000" w:usb1="00000000" w:usb2="0000001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4"/>
          <w:jc w:val="center"/>
        </w:pPr>
        <w:r>
          <w:fldChar w:fldCharType="begin"/>
        </w:r>
        <w:r>
          <w:instrText xml:space="preserve">PAGE   \* MERGEFORMAT</w:instrText>
        </w:r>
        <w:r>
          <w:fldChar w:fldCharType="separate"/>
        </w:r>
        <w:r>
          <w:rPr>
            <w:lang w:val="zh-CN"/>
          </w:rPr>
          <w:t>7</w:t>
        </w:r>
        <w:r>
          <w:fldChar w:fldCharType="end"/>
        </w:r>
      </w:p>
    </w:sdtContent>
  </w:sdt>
  <w:p w14:paraId="76F9E80E">
    <w:pPr>
      <w:pStyle w:val="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2"/>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6"/>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5"/>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7"/>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6"/>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8"/>
      <w:suff w:val="nothing"/>
      <w:lvlText w:val="%1.%2.%3　"/>
      <w:lvlJc w:val="left"/>
      <w:pPr>
        <w:ind w:left="0" w:firstLine="0"/>
      </w:pPr>
      <w:rPr>
        <w:rFonts w:hint="eastAsia" w:ascii="黑体" w:hAnsi="Times New Roman" w:eastAsia="黑体"/>
        <w:b w:val="0"/>
        <w:i w:val="0"/>
        <w:sz w:val="21"/>
      </w:rPr>
    </w:lvl>
    <w:lvl w:ilvl="3" w:tentative="0">
      <w:start w:val="1"/>
      <w:numFmt w:val="decimal"/>
      <w:pStyle w:val="19"/>
      <w:suff w:val="nothing"/>
      <w:lvlText w:val="%1.%2.%3.%4　"/>
      <w:lvlJc w:val="left"/>
      <w:pPr>
        <w:ind w:left="0" w:firstLine="0"/>
      </w:pPr>
      <w:rPr>
        <w:rFonts w:hint="eastAsia" w:ascii="黑体" w:hAnsi="Times New Roman" w:eastAsia="黑体"/>
        <w:b w:val="0"/>
        <w:i w:val="0"/>
        <w:sz w:val="21"/>
      </w:rPr>
    </w:lvl>
    <w:lvl w:ilvl="4" w:tentative="0">
      <w:start w:val="1"/>
      <w:numFmt w:val="decimal"/>
      <w:pStyle w:val="20"/>
      <w:suff w:val="nothing"/>
      <w:lvlText w:val="%1.%2.%3.%4.%5　"/>
      <w:lvlJc w:val="left"/>
      <w:pPr>
        <w:ind w:left="0" w:firstLine="0"/>
      </w:pPr>
      <w:rPr>
        <w:rFonts w:hint="eastAsia" w:ascii="黑体" w:hAnsi="Times New Roman" w:eastAsia="黑体"/>
        <w:b w:val="0"/>
        <w:i w:val="0"/>
        <w:sz w:val="21"/>
      </w:rPr>
    </w:lvl>
    <w:lvl w:ilvl="5" w:tentative="0">
      <w:start w:val="1"/>
      <w:numFmt w:val="decimal"/>
      <w:pStyle w:val="21"/>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3"/>
      <w:suff w:val="space"/>
      <w:lvlText w:val="%1"/>
      <w:lvlJc w:val="left"/>
      <w:pPr>
        <w:ind w:left="623" w:hanging="425"/>
      </w:pPr>
      <w:rPr>
        <w:rFonts w:hint="eastAsia"/>
      </w:rPr>
    </w:lvl>
    <w:lvl w:ilvl="1" w:tentative="0">
      <w:start w:val="1"/>
      <w:numFmt w:val="decimal"/>
      <w:pStyle w:val="24"/>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5"/>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0"/>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4"/>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387"/>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219D"/>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57B9E"/>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16BE5"/>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DAD"/>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25263E9"/>
    <w:rsid w:val="02DA63DE"/>
    <w:rsid w:val="031E276F"/>
    <w:rsid w:val="039E595D"/>
    <w:rsid w:val="03B5742C"/>
    <w:rsid w:val="05FA1163"/>
    <w:rsid w:val="063A27D8"/>
    <w:rsid w:val="0664493D"/>
    <w:rsid w:val="06736DB3"/>
    <w:rsid w:val="06B70F10"/>
    <w:rsid w:val="070F07F6"/>
    <w:rsid w:val="07585D35"/>
    <w:rsid w:val="07972AF0"/>
    <w:rsid w:val="08083403"/>
    <w:rsid w:val="0917022E"/>
    <w:rsid w:val="09BE5E2A"/>
    <w:rsid w:val="0A091F73"/>
    <w:rsid w:val="0A8504E9"/>
    <w:rsid w:val="0B9E269F"/>
    <w:rsid w:val="0CBB102F"/>
    <w:rsid w:val="0D350DE1"/>
    <w:rsid w:val="0D92619C"/>
    <w:rsid w:val="0E4C5F96"/>
    <w:rsid w:val="0EB020D5"/>
    <w:rsid w:val="0F412CA9"/>
    <w:rsid w:val="0F7B6853"/>
    <w:rsid w:val="0FD566D2"/>
    <w:rsid w:val="0FE73EE9"/>
    <w:rsid w:val="110C00AB"/>
    <w:rsid w:val="129B31AF"/>
    <w:rsid w:val="13426B5D"/>
    <w:rsid w:val="13B2170D"/>
    <w:rsid w:val="13B97480"/>
    <w:rsid w:val="14034EB5"/>
    <w:rsid w:val="14870494"/>
    <w:rsid w:val="15085E8C"/>
    <w:rsid w:val="15174F60"/>
    <w:rsid w:val="154277C3"/>
    <w:rsid w:val="1556095A"/>
    <w:rsid w:val="15AE34DE"/>
    <w:rsid w:val="167D7F24"/>
    <w:rsid w:val="169A7F07"/>
    <w:rsid w:val="16B32D77"/>
    <w:rsid w:val="17306AB5"/>
    <w:rsid w:val="17373F64"/>
    <w:rsid w:val="1869193F"/>
    <w:rsid w:val="19056609"/>
    <w:rsid w:val="19A054D6"/>
    <w:rsid w:val="19AB02DA"/>
    <w:rsid w:val="1A833E19"/>
    <w:rsid w:val="1B0717C8"/>
    <w:rsid w:val="1B132036"/>
    <w:rsid w:val="1BE33681"/>
    <w:rsid w:val="1CA37410"/>
    <w:rsid w:val="1DFC0452"/>
    <w:rsid w:val="1E116AEB"/>
    <w:rsid w:val="1E982F7E"/>
    <w:rsid w:val="1EE15A6C"/>
    <w:rsid w:val="1F121CCD"/>
    <w:rsid w:val="1FAD4807"/>
    <w:rsid w:val="20653288"/>
    <w:rsid w:val="20713A86"/>
    <w:rsid w:val="20AA6F98"/>
    <w:rsid w:val="21862EC6"/>
    <w:rsid w:val="22561186"/>
    <w:rsid w:val="23490CEA"/>
    <w:rsid w:val="2355768F"/>
    <w:rsid w:val="237A2B2A"/>
    <w:rsid w:val="24DA01B7"/>
    <w:rsid w:val="25551BC9"/>
    <w:rsid w:val="272B0D62"/>
    <w:rsid w:val="28A013AD"/>
    <w:rsid w:val="2A745211"/>
    <w:rsid w:val="2B9D1BD3"/>
    <w:rsid w:val="2BAE6474"/>
    <w:rsid w:val="2C4F36F5"/>
    <w:rsid w:val="2C6830CC"/>
    <w:rsid w:val="2D5F22BD"/>
    <w:rsid w:val="2FBA0ACE"/>
    <w:rsid w:val="2FF37D11"/>
    <w:rsid w:val="3013049D"/>
    <w:rsid w:val="309D2676"/>
    <w:rsid w:val="315A2315"/>
    <w:rsid w:val="332826CA"/>
    <w:rsid w:val="332C3D99"/>
    <w:rsid w:val="356E2833"/>
    <w:rsid w:val="361A4F3F"/>
    <w:rsid w:val="365875C5"/>
    <w:rsid w:val="37177E68"/>
    <w:rsid w:val="3868707E"/>
    <w:rsid w:val="38BE762D"/>
    <w:rsid w:val="39356049"/>
    <w:rsid w:val="39F41558"/>
    <w:rsid w:val="3A247C6F"/>
    <w:rsid w:val="3A465B2C"/>
    <w:rsid w:val="3ADB44C6"/>
    <w:rsid w:val="3B4E60E4"/>
    <w:rsid w:val="3BFE2074"/>
    <w:rsid w:val="3D6F0EF6"/>
    <w:rsid w:val="3D9F7A2D"/>
    <w:rsid w:val="3ED21DD7"/>
    <w:rsid w:val="3F204B9E"/>
    <w:rsid w:val="3F536D21"/>
    <w:rsid w:val="3F8C7277"/>
    <w:rsid w:val="3FA0222F"/>
    <w:rsid w:val="3FBE5C3D"/>
    <w:rsid w:val="404623E2"/>
    <w:rsid w:val="4065700E"/>
    <w:rsid w:val="40694322"/>
    <w:rsid w:val="40752CC7"/>
    <w:rsid w:val="40972C3D"/>
    <w:rsid w:val="412B2BA1"/>
    <w:rsid w:val="412C782A"/>
    <w:rsid w:val="41BC1DE0"/>
    <w:rsid w:val="42920343"/>
    <w:rsid w:val="42D769B6"/>
    <w:rsid w:val="444924A1"/>
    <w:rsid w:val="44F600D3"/>
    <w:rsid w:val="45234EE5"/>
    <w:rsid w:val="45617704"/>
    <w:rsid w:val="45F14B9E"/>
    <w:rsid w:val="4611602E"/>
    <w:rsid w:val="463351B6"/>
    <w:rsid w:val="471C3E9C"/>
    <w:rsid w:val="47946129"/>
    <w:rsid w:val="489F22D8"/>
    <w:rsid w:val="48B048DB"/>
    <w:rsid w:val="48E629B4"/>
    <w:rsid w:val="4ACE54AE"/>
    <w:rsid w:val="4B8C0594"/>
    <w:rsid w:val="4C0F7B1B"/>
    <w:rsid w:val="4CFE380A"/>
    <w:rsid w:val="4D862B8C"/>
    <w:rsid w:val="4DCE3A17"/>
    <w:rsid w:val="4DFF35F5"/>
    <w:rsid w:val="4EF47599"/>
    <w:rsid w:val="4FE3578A"/>
    <w:rsid w:val="4FF754A7"/>
    <w:rsid w:val="50CF01D2"/>
    <w:rsid w:val="537C6297"/>
    <w:rsid w:val="546D3F89"/>
    <w:rsid w:val="54E94B5B"/>
    <w:rsid w:val="55661639"/>
    <w:rsid w:val="55761622"/>
    <w:rsid w:val="55F83D27"/>
    <w:rsid w:val="5643645D"/>
    <w:rsid w:val="56C65BD3"/>
    <w:rsid w:val="580D1F08"/>
    <w:rsid w:val="5866141B"/>
    <w:rsid w:val="5875165E"/>
    <w:rsid w:val="58BB0AAB"/>
    <w:rsid w:val="58BF0B2C"/>
    <w:rsid w:val="591A5BE0"/>
    <w:rsid w:val="59CE54CA"/>
    <w:rsid w:val="5AA93841"/>
    <w:rsid w:val="5B266C40"/>
    <w:rsid w:val="5B2E1320"/>
    <w:rsid w:val="5B667984"/>
    <w:rsid w:val="5BD857FA"/>
    <w:rsid w:val="5C080481"/>
    <w:rsid w:val="5C3D06E5"/>
    <w:rsid w:val="5CDF431B"/>
    <w:rsid w:val="5D027239"/>
    <w:rsid w:val="5E202145"/>
    <w:rsid w:val="5EEE3F19"/>
    <w:rsid w:val="5F2B2690"/>
    <w:rsid w:val="5F621BCD"/>
    <w:rsid w:val="6031647B"/>
    <w:rsid w:val="606E458F"/>
    <w:rsid w:val="60AD326C"/>
    <w:rsid w:val="61377DF9"/>
    <w:rsid w:val="61963763"/>
    <w:rsid w:val="61D251BA"/>
    <w:rsid w:val="62061579"/>
    <w:rsid w:val="62CF5C7E"/>
    <w:rsid w:val="62F74A7A"/>
    <w:rsid w:val="668E2223"/>
    <w:rsid w:val="6734111D"/>
    <w:rsid w:val="683026D9"/>
    <w:rsid w:val="689A6DDC"/>
    <w:rsid w:val="693F388B"/>
    <w:rsid w:val="694A1AEF"/>
    <w:rsid w:val="69783C43"/>
    <w:rsid w:val="6BFD1C3F"/>
    <w:rsid w:val="6C61675C"/>
    <w:rsid w:val="6DBA21A1"/>
    <w:rsid w:val="6DD8201C"/>
    <w:rsid w:val="6F3239AE"/>
    <w:rsid w:val="6FB10D76"/>
    <w:rsid w:val="701663E5"/>
    <w:rsid w:val="70383246"/>
    <w:rsid w:val="70DA254F"/>
    <w:rsid w:val="717604C9"/>
    <w:rsid w:val="71D604FF"/>
    <w:rsid w:val="73731F46"/>
    <w:rsid w:val="744D4DE6"/>
    <w:rsid w:val="753C5586"/>
    <w:rsid w:val="76CE7AD1"/>
    <w:rsid w:val="77ED559D"/>
    <w:rsid w:val="77F75794"/>
    <w:rsid w:val="782513D5"/>
    <w:rsid w:val="78AF3D07"/>
    <w:rsid w:val="79D25A7A"/>
    <w:rsid w:val="7AC04986"/>
    <w:rsid w:val="7ACB3368"/>
    <w:rsid w:val="7AF5051C"/>
    <w:rsid w:val="7B767318"/>
    <w:rsid w:val="7BBA680A"/>
    <w:rsid w:val="7BE826AE"/>
    <w:rsid w:val="7BFA1CF7"/>
    <w:rsid w:val="7CCF532E"/>
    <w:rsid w:val="7E00338F"/>
    <w:rsid w:val="7E413C0D"/>
    <w:rsid w:val="7EEF3669"/>
    <w:rsid w:val="7F7D6EC7"/>
    <w:rsid w:val="7FE52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caption"/>
    <w:basedOn w:val="1"/>
    <w:next w:val="1"/>
    <w:unhideWhenUsed/>
    <w:qFormat/>
    <w:uiPriority w:val="35"/>
    <w:pPr>
      <w:ind w:firstLine="0" w:firstLineChars="0"/>
      <w:jc w:val="center"/>
    </w:pPr>
    <w:rPr>
      <w:sz w:val="21"/>
      <w:szCs w:val="21"/>
    </w:rPr>
  </w:style>
  <w:style w:type="paragraph" w:styleId="3">
    <w:name w:val="Balloon Text"/>
    <w:basedOn w:val="1"/>
    <w:link w:val="37"/>
    <w:semiHidden/>
    <w:unhideWhenUsed/>
    <w:qFormat/>
    <w:uiPriority w:val="0"/>
    <w:rPr>
      <w:sz w:val="18"/>
      <w:szCs w:val="18"/>
    </w:rPr>
  </w:style>
  <w:style w:type="paragraph" w:styleId="4">
    <w:name w:val="footer"/>
    <w:basedOn w:val="1"/>
    <w:link w:val="29"/>
    <w:qFormat/>
    <w:uiPriority w:val="99"/>
    <w:pPr>
      <w:tabs>
        <w:tab w:val="center" w:pos="4153"/>
        <w:tab w:val="right" w:pos="8306"/>
      </w:tabs>
      <w:snapToGrid w:val="0"/>
      <w:jc w:val="left"/>
    </w:pPr>
    <w:rPr>
      <w:sz w:val="18"/>
      <w:szCs w:val="18"/>
    </w:rPr>
  </w:style>
  <w:style w:type="paragraph" w:styleId="5">
    <w:name w:val="header"/>
    <w:basedOn w:val="1"/>
    <w:link w:val="28"/>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99"/>
    <w:pPr>
      <w:spacing w:before="100" w:beforeAutospacing="1" w:after="100" w:afterAutospacing="1"/>
      <w:jc w:val="left"/>
    </w:pPr>
    <w:rPr>
      <w:kern w:val="0"/>
      <w:sz w:val="24"/>
    </w:rPr>
  </w:style>
  <w:style w:type="table" w:styleId="8">
    <w:name w:val="Table Grid"/>
    <w:basedOn w:val="7"/>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0">
    <w:name w:val="Strong"/>
    <w:basedOn w:val="9"/>
    <w:qFormat/>
    <w:uiPriority w:val="0"/>
    <w:rPr>
      <w:b/>
    </w:rPr>
  </w:style>
  <w:style w:type="character" w:styleId="11">
    <w:name w:val="Hyperlink"/>
    <w:basedOn w:val="9"/>
    <w:unhideWhenUsed/>
    <w:qFormat/>
    <w:uiPriority w:val="99"/>
    <w:rPr>
      <w:color w:val="0000FF"/>
      <w:u w:val="single"/>
    </w:rPr>
  </w:style>
  <w:style w:type="paragraph" w:customStyle="1" w:styleId="12">
    <w:name w:val="段"/>
    <w:link w:val="27"/>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3">
    <w:name w:val="正文表标题"/>
    <w:next w:val="12"/>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4">
    <w:name w:val="正文图标题"/>
    <w:next w:val="12"/>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5">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6">
    <w:name w:val="一级条标题"/>
    <w:next w:val="12"/>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7">
    <w:name w:val="章标题"/>
    <w:next w:val="12"/>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8">
    <w:name w:val="二级条标题"/>
    <w:basedOn w:val="16"/>
    <w:next w:val="12"/>
    <w:qFormat/>
    <w:uiPriority w:val="0"/>
    <w:pPr>
      <w:numPr>
        <w:ilvl w:val="2"/>
      </w:numPr>
      <w:spacing w:before="50" w:after="50"/>
      <w:outlineLvl w:val="3"/>
    </w:pPr>
  </w:style>
  <w:style w:type="paragraph" w:customStyle="1" w:styleId="19">
    <w:name w:val="三级条标题"/>
    <w:basedOn w:val="18"/>
    <w:next w:val="12"/>
    <w:qFormat/>
    <w:uiPriority w:val="0"/>
    <w:pPr>
      <w:numPr>
        <w:ilvl w:val="3"/>
      </w:numPr>
      <w:outlineLvl w:val="4"/>
    </w:pPr>
  </w:style>
  <w:style w:type="paragraph" w:customStyle="1" w:styleId="20">
    <w:name w:val="四级条标题"/>
    <w:basedOn w:val="19"/>
    <w:next w:val="12"/>
    <w:qFormat/>
    <w:uiPriority w:val="0"/>
    <w:pPr>
      <w:numPr>
        <w:ilvl w:val="4"/>
      </w:numPr>
      <w:outlineLvl w:val="5"/>
    </w:pPr>
  </w:style>
  <w:style w:type="paragraph" w:customStyle="1" w:styleId="21">
    <w:name w:val="五级条标题"/>
    <w:basedOn w:val="20"/>
    <w:next w:val="12"/>
    <w:qFormat/>
    <w:uiPriority w:val="0"/>
    <w:pPr>
      <w:numPr>
        <w:ilvl w:val="5"/>
      </w:numPr>
      <w:outlineLvl w:val="6"/>
    </w:pPr>
  </w:style>
  <w:style w:type="paragraph" w:customStyle="1" w:styleId="22">
    <w:name w:val="注："/>
    <w:next w:val="12"/>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3">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4">
    <w:name w:val="附录图标题"/>
    <w:basedOn w:val="1"/>
    <w:next w:val="12"/>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5">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6">
    <w:name w:val="图表脚注说明"/>
    <w:basedOn w:val="1"/>
    <w:qFormat/>
    <w:uiPriority w:val="0"/>
    <w:pPr>
      <w:numPr>
        <w:ilvl w:val="0"/>
        <w:numId w:val="7"/>
      </w:numPr>
    </w:pPr>
    <w:rPr>
      <w:rFonts w:ascii="宋体"/>
      <w:sz w:val="18"/>
      <w:szCs w:val="18"/>
    </w:rPr>
  </w:style>
  <w:style w:type="character" w:customStyle="1" w:styleId="27">
    <w:name w:val="段 Char"/>
    <w:basedOn w:val="9"/>
    <w:link w:val="12"/>
    <w:qFormat/>
    <w:uiPriority w:val="0"/>
    <w:rPr>
      <w:rFonts w:ascii="宋体"/>
      <w:sz w:val="21"/>
      <w:lang w:val="en-US" w:eastAsia="zh-CN" w:bidi="ar-SA"/>
    </w:rPr>
  </w:style>
  <w:style w:type="character" w:customStyle="1" w:styleId="28">
    <w:name w:val="页眉 字符"/>
    <w:basedOn w:val="9"/>
    <w:link w:val="5"/>
    <w:qFormat/>
    <w:uiPriority w:val="0"/>
    <w:rPr>
      <w:kern w:val="2"/>
      <w:sz w:val="18"/>
      <w:szCs w:val="18"/>
    </w:rPr>
  </w:style>
  <w:style w:type="character" w:customStyle="1" w:styleId="29">
    <w:name w:val="页脚 字符"/>
    <w:basedOn w:val="9"/>
    <w:link w:val="4"/>
    <w:qFormat/>
    <w:uiPriority w:val="99"/>
    <w:rPr>
      <w:kern w:val="2"/>
      <w:sz w:val="18"/>
      <w:szCs w:val="18"/>
    </w:rPr>
  </w:style>
  <w:style w:type="paragraph" w:customStyle="1" w:styleId="30">
    <w:name w:val="附录表标题"/>
    <w:basedOn w:val="1"/>
    <w:next w:val="12"/>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1">
    <w:name w:val="List Paragraph"/>
    <w:basedOn w:val="1"/>
    <w:unhideWhenUsed/>
    <w:qFormat/>
    <w:uiPriority w:val="34"/>
    <w:pPr>
      <w:ind w:firstLine="420" w:firstLineChars="200"/>
    </w:pPr>
  </w:style>
  <w:style w:type="paragraph" w:customStyle="1" w:styleId="3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3">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4">
    <w:name w:val="发布"/>
    <w:qFormat/>
    <w:uiPriority w:val="0"/>
    <w:rPr>
      <w:rFonts w:ascii="黑体" w:eastAsia="黑体"/>
      <w:spacing w:val="22"/>
      <w:w w:val="100"/>
      <w:position w:val="3"/>
      <w:sz w:val="28"/>
    </w:rPr>
  </w:style>
  <w:style w:type="paragraph" w:customStyle="1" w:styleId="35">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6">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7">
    <w:name w:val="批注框文本 字符"/>
    <w:basedOn w:val="9"/>
    <w:link w:val="3"/>
    <w:semiHidden/>
    <w:qFormat/>
    <w:uiPriority w:val="0"/>
    <w:rPr>
      <w:rFonts w:ascii="Times New Roman" w:hAnsi="Times New Roman"/>
      <w:kern w:val="2"/>
      <w:sz w:val="18"/>
      <w:szCs w:val="18"/>
    </w:rPr>
  </w:style>
  <w:style w:type="paragraph" w:customStyle="1" w:styleId="38">
    <w:name w:val="Default"/>
    <w:qFormat/>
    <w:uiPriority w:val="0"/>
    <w:pPr>
      <w:widowControl w:val="0"/>
      <w:autoSpaceDE w:val="0"/>
      <w:autoSpaceDN w:val="0"/>
      <w:adjustRightInd w:val="0"/>
    </w:pPr>
    <w:rPr>
      <w:rFonts w:ascii="新宋体.挀.挀." w:hAnsi="新宋体.挀.挀." w:eastAsia="新宋体.挀.挀." w:cs="Times New Roman"/>
      <w:color w:val="000000"/>
      <w:sz w:val="24"/>
      <w:szCs w:val="22"/>
      <w:lang w:val="en-US" w:eastAsia="zh-CN" w:bidi="ar-SA"/>
    </w:rPr>
  </w:style>
  <w:style w:type="character" w:customStyle="1" w:styleId="39">
    <w:name w:val="font21"/>
    <w:basedOn w:val="9"/>
    <w:qFormat/>
    <w:uiPriority w:val="0"/>
    <w:rPr>
      <w:rFonts w:hint="default" w:ascii="Times New Roman" w:hAnsi="Times New Roman" w:cs="Times New Roman"/>
      <w:color w:val="000000"/>
      <w:sz w:val="18"/>
      <w:szCs w:val="18"/>
      <w:u w:val="none"/>
    </w:rPr>
  </w:style>
  <w:style w:type="character" w:customStyle="1" w:styleId="40">
    <w:name w:val="font11"/>
    <w:basedOn w:val="9"/>
    <w:qFormat/>
    <w:uiPriority w:val="0"/>
    <w:rPr>
      <w:rFonts w:hint="eastAsia" w:ascii="宋体" w:hAnsi="宋体" w:eastAsia="宋体" w:cs="宋体"/>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jpe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26</Pages>
  <Words>3702</Words>
  <Characters>4084</Characters>
  <Lines>2</Lines>
  <Paragraphs>5</Paragraphs>
  <TotalTime>18</TotalTime>
  <ScaleCrop>false</ScaleCrop>
  <LinksUpToDate>false</LinksUpToDate>
  <CharactersWithSpaces>4155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2026-03-31T07:22:26Z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